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1"/>
        <w:jc w:val="center"/>
      </w:pPr>
      <w:r>
        <w:rPr>
          <w:rFonts w:ascii="Times New Roman" w:hAnsi="Times New Roman" w:cs="Times New Roman"/>
          <w:sz w:val="28"/>
        </w:rPr>
        <w:t xml:space="preserve">МАГИСТЕРСКАЯ ДИССЕРТАЦИЯ</w:t>
      </w:r>
    </w:p>
    <w:p>
      <w:pPr>
        <w:pStyle w:val="aa"/>
        <w:jc w:val="center"/>
      </w:pPr>
      <w:r>
        <w:rPr>
          <w:rFonts w:ascii="Times New Roman" w:hAnsi="Times New Roman" w:cs="Times New Roman"/>
          <w:sz w:val="32"/>
          <w:b/>
        </w:rPr>
        <w:t xml:space="preserve">Применение uplift-моделирования в финтехе для выбора клиентских воздействий</w:t>
      </w:r>
    </w:p>
    <w:p>
      <w:pPr>
        <w:pStyle w:val="a1"/>
        <w:jc w:val="center"/>
      </w:pPr>
      <w:r>
        <w:rPr>
          <w:rFonts w:ascii="Times New Roman" w:hAnsi="Times New Roman" w:cs="Times New Roman"/>
          <w:sz w:val="28"/>
        </w:rPr>
        <w:t xml:space="preserve">Сравнительный анализ и условия внедрения на примере задачи кредитных коммуникаций</w:t>
      </w:r>
    </w:p>
    <w:p>
      <w:pPr>
        <w:pStyle w:val="a1"/>
        <w:jc w:val="center"/>
      </w:pPr>
      <w:r>
        <w:rPr>
          <w:rFonts w:ascii="Times New Roman" w:hAnsi="Times New Roman" w:cs="Times New Roman"/>
          <w:sz w:val="28"/>
        </w:rPr>
        <w:t xml:space="preserve">Переработанная структурная редакция текста</w:t>
      </w:r>
    </w:p>
    <w:p>
      <w:pPr>
        <w:pStyle w:val="a1"/>
        <w:jc w:val="center"/>
      </w:pPr>
      <w:r>
        <w:rPr>
          <w:rFonts w:ascii="Times New Roman" w:hAnsi="Times New Roman" w:cs="Times New Roman"/>
          <w:sz w:val="28"/>
        </w:rPr>
        <w:t xml:space="preserve">2024-2025</w:t>
      </w:r>
    </w:p>
    <w:p>
      <w:pPr>
        <w:pStyle w:val="af8"/>
        <w:jc w:val="both"/>
      </w:pPr>
      <w:r>
        <w:rPr>
          <w:rFonts w:ascii="Times New Roman" w:hAnsi="Times New Roman" w:cs="Times New Roman"/>
          <w:sz w:val="24"/>
          <w:i/>
        </w:rPr>
        <w:t xml:space="preserve">Примечание для доработки: оформить официальный титульный лист по шаблону образовательной организации: указать образовательный центр, автора, научного руководителя и визу руководителя на печатной версии.</w:t>
      </w:r>
    </w:p>
    <w:p>
      <w:pPr>
        <w:pStyle w:val="1"/>
        <w:jc w:val="center"/>
      </w:pPr>
      <w:r>
        <w:rPr>
          <w:rFonts w:ascii="Times New Roman" w:hAnsi="Times New Roman" w:cs="Times New Roman"/>
          <w:sz w:val="28"/>
          <w:b/>
        </w:rPr>
        <w:t xml:space="preserve">ОГЛАВЛЕНИЕ</w:t>
      </w:r>
    </w:p>
    <w:p>
      <w:pPr>
        <w:pStyle w:val="a1"/>
        <w:jc w:val="both"/>
      </w:pPr>
      <w:r>
        <w:rPr>
          <w:rFonts w:ascii="Times New Roman" w:hAnsi="Times New Roman" w:cs="Times New Roman"/>
          <w:sz w:val="28"/>
        </w:rPr>
        <w:t xml:space="preserve">ВВЕДЕНИЕ</w:t>
      </w:r>
    </w:p>
    <w:p>
      <w:pPr>
        <w:pStyle w:val="a1"/>
        <w:jc w:val="both"/>
      </w:pPr>
      <w:r>
        <w:rPr>
          <w:rFonts w:ascii="Times New Roman" w:hAnsi="Times New Roman" w:cs="Times New Roman"/>
          <w:sz w:val="28"/>
        </w:rPr>
        <w:t xml:space="preserve">ГЛАВА 1. UPLIFT-МОДЕЛИРОВАНИЕ КАК ИНСТРУМЕНТ ВЫБОРА ВОЗДЕЙСТВИЯ В ФИНТЕХЕ</w:t>
      </w:r>
    </w:p>
    <w:p>
      <w:pPr>
        <w:pStyle w:val="a1"/>
        <w:jc w:val="both"/>
      </w:pPr>
      <w:r>
        <w:rPr>
          <w:rFonts w:ascii="Times New Roman" w:hAnsi="Times New Roman" w:cs="Times New Roman"/>
          <w:sz w:val="28"/>
        </w:rPr>
        <w:t xml:space="preserve">1.1. Финтех-задачи как задачи выбора управленческого воздействия</w:t>
      </w:r>
    </w:p>
    <w:p>
      <w:pPr>
        <w:pStyle w:val="a1"/>
        <w:jc w:val="both"/>
      </w:pPr>
      <w:r>
        <w:rPr>
          <w:rFonts w:ascii="Times New Roman" w:hAnsi="Times New Roman" w:cs="Times New Roman"/>
          <w:sz w:val="28"/>
        </w:rPr>
        <w:t xml:space="preserve">1.2. Почему риск-скоринг не заменяет оценку индивидуального эффекта</w:t>
      </w:r>
    </w:p>
    <w:p>
      <w:pPr>
        <w:pStyle w:val="a1"/>
        <w:jc w:val="both"/>
      </w:pPr>
      <w:r>
        <w:rPr>
          <w:rFonts w:ascii="Times New Roman" w:hAnsi="Times New Roman" w:cs="Times New Roman"/>
          <w:sz w:val="28"/>
        </w:rPr>
        <w:t xml:space="preserve">1.3. Барьеры внедрения uplift-подхода в финансовых организациях</w:t>
      </w:r>
    </w:p>
    <w:p>
      <w:pPr>
        <w:pStyle w:val="a1"/>
        <w:jc w:val="both"/>
      </w:pPr>
      <w:r>
        <w:rPr>
          <w:rFonts w:ascii="Times New Roman" w:hAnsi="Times New Roman" w:cs="Times New Roman"/>
          <w:sz w:val="28"/>
        </w:rPr>
        <w:t xml:space="preserve">1.4. Постановка исследовательской и программной задачи</w:t>
      </w:r>
    </w:p>
    <w:p>
      <w:pPr>
        <w:pStyle w:val="a1"/>
        <w:jc w:val="both"/>
      </w:pPr>
      <w:r>
        <w:rPr>
          <w:rFonts w:ascii="Times New Roman" w:hAnsi="Times New Roman" w:cs="Times New Roman"/>
          <w:sz w:val="28"/>
        </w:rPr>
        <w:t xml:space="preserve">ГЛАВА 2. МЕТОДИКА ОЦЕНКИ ИНДИВИДУАЛЬНОГО ЭФФЕКТА В ФИНТЕХ-ЗАДАЧАХ</w:t>
      </w:r>
    </w:p>
    <w:p>
      <w:pPr>
        <w:pStyle w:val="a1"/>
        <w:jc w:val="both"/>
      </w:pPr>
      <w:r>
        <w:rPr>
          <w:rFonts w:ascii="Times New Roman" w:hAnsi="Times New Roman" w:cs="Times New Roman"/>
          <w:sz w:val="28"/>
        </w:rPr>
        <w:t xml:space="preserve">2.1. Потенциальные исходы и индивидуальный эффект воздействия</w:t>
      </w:r>
    </w:p>
    <w:p>
      <w:pPr>
        <w:pStyle w:val="a1"/>
        <w:jc w:val="both"/>
      </w:pPr>
      <w:r>
        <w:rPr>
          <w:rFonts w:ascii="Times New Roman" w:hAnsi="Times New Roman" w:cs="Times New Roman"/>
          <w:sz w:val="28"/>
        </w:rPr>
        <w:t xml:space="preserve">2.2. Требования к данным: контроль, перекрытие, смещение и защита от утечки</w:t>
      </w:r>
    </w:p>
    <w:p>
      <w:pPr>
        <w:pStyle w:val="a1"/>
        <w:jc w:val="both"/>
      </w:pPr>
      <w:r>
        <w:rPr>
          <w:rFonts w:ascii="Times New Roman" w:hAnsi="Times New Roman" w:cs="Times New Roman"/>
          <w:sz w:val="28"/>
        </w:rPr>
        <w:t xml:space="preserve">2.3. Модели, оракулы и метрики сравнения</w:t>
      </w:r>
    </w:p>
    <w:p>
      <w:pPr>
        <w:pStyle w:val="a1"/>
        <w:jc w:val="both"/>
      </w:pPr>
      <w:r>
        <w:rPr>
          <w:rFonts w:ascii="Times New Roman" w:hAnsi="Times New Roman" w:cs="Times New Roman"/>
          <w:sz w:val="28"/>
        </w:rPr>
        <w:t xml:space="preserve">2.4. Экономическая оценка и сценарии связи риска с эффектом воздействия</w:t>
      </w:r>
    </w:p>
    <w:p>
      <w:pPr>
        <w:pStyle w:val="a1"/>
        <w:jc w:val="both"/>
      </w:pPr>
      <w:r>
        <w:rPr>
          <w:rFonts w:ascii="Times New Roman" w:hAnsi="Times New Roman" w:cs="Times New Roman"/>
          <w:sz w:val="28"/>
        </w:rPr>
        <w:t xml:space="preserve">ГЛАВА 3. ФОРМИРОВАНИЕ ВОСПРОИЗВОДИМОГО ЭКСПЕРИМЕНТАЛЬНОГО СТЕНДА</w:t>
      </w:r>
    </w:p>
    <w:p>
      <w:pPr>
        <w:pStyle w:val="a1"/>
        <w:jc w:val="both"/>
      </w:pPr>
      <w:r>
        <w:rPr>
          <w:rFonts w:ascii="Times New Roman" w:hAnsi="Times New Roman" w:cs="Times New Roman"/>
          <w:sz w:val="28"/>
        </w:rPr>
        <w:t xml:space="preserve">3.1. Исходный набор данных и область применимости эксперимента</w:t>
      </w:r>
    </w:p>
    <w:p>
      <w:pPr>
        <w:pStyle w:val="a1"/>
        <w:jc w:val="both"/>
      </w:pPr>
      <w:r>
        <w:rPr>
          <w:rFonts w:ascii="Times New Roman" w:hAnsi="Times New Roman" w:cs="Times New Roman"/>
          <w:sz w:val="28"/>
        </w:rPr>
        <w:t xml:space="preserve">3.2. Генерация синтетического причинного слоя</w:t>
      </w:r>
    </w:p>
    <w:p>
      <w:pPr>
        <w:pStyle w:val="a1"/>
        <w:jc w:val="both"/>
      </w:pPr>
      <w:r>
        <w:rPr>
          <w:rFonts w:ascii="Times New Roman" w:hAnsi="Times New Roman" w:cs="Times New Roman"/>
          <w:sz w:val="28"/>
        </w:rPr>
        <w:t xml:space="preserve">3.3. Диагностика пригодности данных для uplift-моделирования</w:t>
      </w:r>
    </w:p>
    <w:p>
      <w:pPr>
        <w:pStyle w:val="a1"/>
        <w:jc w:val="both"/>
      </w:pPr>
      <w:r>
        <w:rPr>
          <w:rFonts w:ascii="Times New Roman" w:hAnsi="Times New Roman" w:cs="Times New Roman"/>
          <w:sz w:val="28"/>
        </w:rPr>
        <w:t xml:space="preserve">3.4. Программная реализация моделей и контур воспроизводимости</w:t>
      </w:r>
    </w:p>
    <w:p>
      <w:pPr>
        <w:pStyle w:val="a1"/>
        <w:jc w:val="both"/>
      </w:pPr>
      <w:r>
        <w:rPr>
          <w:rFonts w:ascii="Times New Roman" w:hAnsi="Times New Roman" w:cs="Times New Roman"/>
          <w:sz w:val="28"/>
        </w:rPr>
        <w:t xml:space="preserve">ГЛАВА 4. РЕЗУЛЬТАТЫ, БИЗНЕС-ЦЕННОСТЬ И УСЛОВИЯ ВНЕДРЕНИЯ</w:t>
      </w:r>
    </w:p>
    <w:p>
      <w:pPr>
        <w:pStyle w:val="a1"/>
        <w:jc w:val="both"/>
      </w:pPr>
      <w:r>
        <w:rPr>
          <w:rFonts w:ascii="Times New Roman" w:hAnsi="Times New Roman" w:cs="Times New Roman"/>
          <w:sz w:val="28"/>
        </w:rPr>
        <w:t xml:space="preserve">4.1. Качество риск-моделей как базовых стратегий</w:t>
      </w:r>
    </w:p>
    <w:p>
      <w:pPr>
        <w:pStyle w:val="a1"/>
        <w:jc w:val="both"/>
      </w:pPr>
      <w:r>
        <w:rPr>
          <w:rFonts w:ascii="Times New Roman" w:hAnsi="Times New Roman" w:cs="Times New Roman"/>
          <w:sz w:val="28"/>
        </w:rPr>
        <w:t xml:space="preserve">4.2. Результаты uplift-моделей и интерпретация оракулов</w:t>
      </w:r>
    </w:p>
    <w:p>
      <w:pPr>
        <w:pStyle w:val="a1"/>
        <w:jc w:val="both"/>
      </w:pPr>
      <w:r>
        <w:rPr>
          <w:rFonts w:ascii="Times New Roman" w:hAnsi="Times New Roman" w:cs="Times New Roman"/>
          <w:sz w:val="28"/>
        </w:rPr>
        <w:t xml:space="preserve">4.3. Когда риск-скоринг имитирует uplift: сценарный анализ</w:t>
      </w:r>
    </w:p>
    <w:p>
      <w:pPr>
        <w:pStyle w:val="a1"/>
        <w:jc w:val="both"/>
      </w:pPr>
      <w:r>
        <w:rPr>
          <w:rFonts w:ascii="Times New Roman" w:hAnsi="Times New Roman" w:cs="Times New Roman"/>
          <w:sz w:val="28"/>
        </w:rPr>
        <w:t xml:space="preserve">4.4. Практический эффект, ограничения и дорожная карта внедрения</w:t>
      </w:r>
    </w:p>
    <w:p>
      <w:pPr>
        <w:pStyle w:val="a1"/>
        <w:jc w:val="both"/>
      </w:pPr>
      <w:r>
        <w:rPr>
          <w:rFonts w:ascii="Times New Roman" w:hAnsi="Times New Roman" w:cs="Times New Roman"/>
          <w:sz w:val="28"/>
        </w:rPr>
        <w:t xml:space="preserve">ЗАКЛЮЧЕНИЕ</w:t>
      </w:r>
    </w:p>
    <w:p>
      <w:pPr>
        <w:pStyle w:val="a1"/>
        <w:jc w:val="both"/>
      </w:pPr>
      <w:r>
        <w:rPr>
          <w:rFonts w:ascii="Times New Roman" w:hAnsi="Times New Roman" w:cs="Times New Roman"/>
          <w:sz w:val="28"/>
        </w:rPr>
        <w:t xml:space="preserve">СПИСОК ЛИТЕРАТУРЫ</w:t>
      </w:r>
    </w:p>
    <w:p>
      <w:pPr>
        <w:pStyle w:val="a1"/>
        <w:jc w:val="both"/>
      </w:pPr>
      <w:r>
        <w:rPr>
          <w:rFonts w:ascii="Times New Roman" w:hAnsi="Times New Roman" w:cs="Times New Roman"/>
          <w:sz w:val="28"/>
        </w:rPr>
        <w:t xml:space="preserve">ПРИЛОЖЕНИЕ А. Контрольный список материалов для финальной версии</w:t>
      </w:r>
    </w:p>
    <w:p>
      <w:pPr>
        <w:pStyle w:val="1"/>
        <w:jc w:val="center"/>
      </w:pPr>
      <w:r>
        <w:rPr>
          <w:rFonts w:ascii="Times New Roman" w:hAnsi="Times New Roman" w:cs="Times New Roman"/>
          <w:sz w:val="28"/>
          <w:b/>
        </w:rPr>
        <w:t xml:space="preserve">ВВЕДЕНИЕ</w:t>
      </w:r>
    </w:p>
    <w:p>
      <w:pPr>
        <w:pStyle w:val="a1"/>
        <w:jc w:val="both"/>
      </w:pPr>
      <w:r>
        <w:rPr>
          <w:rFonts w:ascii="Times New Roman" w:hAnsi="Times New Roman" w:cs="Times New Roman"/>
          <w:sz w:val="28"/>
        </w:rPr>
        <w:t xml:space="preserve">Финансовые организации все чаще принимают решения не только о том, как оценить клиента, но и о том, какое действие по отношению к нему выбрать. Банк может отправить напоминание о платеже, предложить реструктуризацию, изменить кредитный лимит, подобрать канал удержания, провести дополнительную проверку операции или направить клиента в контакт-центр. В каждом таком случае организация фактически выбирает воздействие. Поэтому качество решения определяется не только точностью прогноза события, но и тем, насколько выбранное действие меняет вероятность этого события.</w:t>
      </w:r>
    </w:p>
    <w:p>
      <w:pPr>
        <w:pStyle w:val="a1"/>
        <w:jc w:val="both"/>
      </w:pPr>
      <w:r>
        <w:rPr>
          <w:rFonts w:ascii="Times New Roman" w:hAnsi="Times New Roman" w:cs="Times New Roman"/>
          <w:sz w:val="28"/>
        </w:rPr>
        <w:t xml:space="preserve">Классический подход в финансовом скоринге строится вокруг оценки риска. Например, модель кредитного риска ранжирует заемщиков по вероятности дефолта. Такой подход хорошо развит, понятен для бизнеса и регуляторно привычен. Однако он отвечает на вопрос: кто с большей вероятностью уйдет в дефолт. В задачах клиентских воздействий часто нужен другой вопрос: для кого коммуникация, предложение или ограничение действительно изменит поведение. Клиент с высоким риском может не отреагировать на звонок, а клиент со средним риском может своевременно внести платеж после мягкого напоминания. Для управленческого решения эти клиенты принципиально различаются.</w:t>
      </w:r>
    </w:p>
    <w:p>
      <w:pPr>
        <w:pStyle w:val="a1"/>
        <w:jc w:val="both"/>
      </w:pPr>
      <w:r>
        <w:rPr>
          <w:rFonts w:ascii="Times New Roman" w:hAnsi="Times New Roman" w:cs="Times New Roman"/>
          <w:sz w:val="28"/>
        </w:rPr>
        <w:t xml:space="preserve">Моделирование индивидуального эффекта воздействия, или uplift-моделирование, как раз предназначено для оценки добавочного эффекта действия. В маркетинге такие методы применяются для таргетирования рассылок и рекламных предложений, в телекоммуникациях - для удержания клиентов, в медицине - для оценки неоднородного эффекта лечения. Для финтеха эта логика также актуальна, поскольку многие процессы связаны с выбором действия: профилактика просрочки, реструктуризация, удержание клиента, управление лимитами, подбор канала коммуникации, снижение избыточных контактов и оптимизация затрат.</w:t>
      </w:r>
    </w:p>
    <w:p>
      <w:pPr>
        <w:pStyle w:val="a1"/>
        <w:jc w:val="both"/>
      </w:pPr>
      <w:r>
        <w:rPr>
          <w:rFonts w:ascii="Times New Roman" w:hAnsi="Times New Roman" w:cs="Times New Roman"/>
          <w:sz w:val="28"/>
        </w:rPr>
        <w:t xml:space="preserve">При этом перенос uplift-подхода в финтех не является механическим. Финансовые события часто редки, результат вызревает медленно, исторические воздействия назначаются неслучайно, контрольная группа может восприниматься как отказ от помощи клиенту, а некоторые действия ограничены регуляторными и этическими требованиями. Кроме того, финансовая организация должна учитывать стоимость канала, пропускную способность сотрудников, риск жалоб и возможность отрицательного эффекта от лишнего контакта. Поэтому вопрос состоит не в том, чтобы просто обучить более сложный алгоритм, а в том, чтобы определить условия, при которых причинная постановка действительно применима и полезна.</w:t>
      </w:r>
    </w:p>
    <w:p>
      <w:pPr>
        <w:pStyle w:val="a1"/>
        <w:jc w:val="both"/>
      </w:pPr>
      <w:r>
        <w:rPr>
          <w:rFonts w:ascii="Times New Roman" w:hAnsi="Times New Roman" w:cs="Times New Roman"/>
          <w:sz w:val="28"/>
        </w:rPr>
        <w:t xml:space="preserve">Настоящая работа рассматривает uplift-моделирование как методологическую рамку для финтех-задач выбора воздействия. Конкретным экспериментальным примером выбрана задача профилактики кредитного риска через коммуникации с заемщиками. Банк стремится снизить вероятность дефолта с помощью SMS, автоматического звонка или звонка оператора, но ресурсы ограничены, каналы имеют разную стоимость, а лишний контакт может раздражать клиента. Такая задача является показательной: в ней есть несколько вариантов воздействия, контрольная группа, слабый и неоднородный эффект, смещение исторической политики и необходимость перевода модельного результата в экономическую ценность.</w:t>
      </w:r>
    </w:p>
    <w:p>
      <w:pPr>
        <w:pStyle w:val="a1"/>
        <w:jc w:val="both"/>
      </w:pPr>
      <w:r>
        <w:rPr>
          <w:rFonts w:ascii="Times New Roman" w:hAnsi="Times New Roman" w:cs="Times New Roman"/>
          <w:sz w:val="28"/>
        </w:rPr>
        <w:t xml:space="preserve">Ключевая идея работы заключается в следующем. Uplift-модель не должна рассматриваться как универсальная замена риск-скорингу. Если высокий кредитный риск совпадает с высокой изменяемостью поведения клиента, риск-ориентированная стратегия может быть сильной и практически достаточной. Но если максимальный эффект коммуникации возникает у клиентов среднего риска или слабо связан с вероятностью дефолта, обычный риск-скоринг начинает решать не ту задачу. Поэтому ценность uplift-подхода определяется не только моделью, но и структурой данных, связью риска с эффектом, наличием контроля, перекрытием групп и бизнес-ограничениями.</w:t>
      </w:r>
    </w:p>
    <w:p>
      <w:pPr>
        <w:pStyle w:val="a1"/>
        <w:jc w:val="both"/>
      </w:pPr>
      <w:r>
        <w:rPr>
          <w:rFonts w:ascii="Times New Roman" w:hAnsi="Times New Roman" w:cs="Times New Roman"/>
          <w:sz w:val="28"/>
        </w:rPr>
        <w:t xml:space="preserve">Цель работы - разработать и проверить воспроизводимую методику оценки применимости uplift-моделирования в финтех-задачах выбора клиентского воздействия на примере кредитных коммуникаций, а также определить условия, при которых uplift-подход дает практическое преимущество по сравнению с риск-ориентированными моделями.</w:t>
      </w:r>
    </w:p>
    <w:p>
      <w:pPr>
        <w:pStyle w:val="a1"/>
        <w:jc w:val="both"/>
      </w:pPr>
      <w:r>
        <w:rPr>
          <w:rFonts w:ascii="Times New Roman" w:hAnsi="Times New Roman" w:cs="Times New Roman"/>
          <w:sz w:val="28"/>
        </w:rPr>
        <w:t xml:space="preserve">Для достижения цели решаются следующие задачи: систематизировать финтех-задачи, в которых решение имеет характер воздействия на клиента; выделить основные барьеры внедрения uplift-моделей в финансовых организациях; сформировать экспериментальный стенд на основе реального кредитного набора данных и синтетического причинного слоя; реализовать классические риск-модели и модели индивидуального эффекта воздействия; сравнить модели с использованием метрик ранжирования, доверительных интервалов и бизнес-показателей; проверить, как меняются выводы при разной связи между кредитным риском и эффектом коммуникации; сформулировать практические требования к данным и процессам для внедрения uplift-подхода в финтехе.</w:t>
      </w:r>
    </w:p>
    <w:p>
      <w:pPr>
        <w:pStyle w:val="a1"/>
        <w:jc w:val="both"/>
      </w:pPr>
      <w:r>
        <w:rPr>
          <w:rFonts w:ascii="Times New Roman" w:hAnsi="Times New Roman" w:cs="Times New Roman"/>
          <w:sz w:val="28"/>
        </w:rPr>
        <w:t xml:space="preserve">Объектом исследования являются процессы выбора клиентских воздействий в финансовых организациях. Предметом исследования являются методы машинного обучения и причинного моделирования, позволяющие оценивать индивидуальный эффект воздействия на вероятность финансового события. В экспериментальной части финансовым событием является дефолт или отсутствие дефолта после коммуникации, а воздействием является канал контакта с заемщиком.</w:t>
      </w:r>
    </w:p>
    <w:p>
      <w:pPr>
        <w:pStyle w:val="a1"/>
        <w:jc w:val="both"/>
      </w:pPr>
      <w:r>
        <w:rPr>
          <w:rFonts w:ascii="Times New Roman" w:hAnsi="Times New Roman" w:cs="Times New Roman"/>
          <w:sz w:val="28"/>
        </w:rPr>
        <w:t xml:space="preserve">Теоретическую основу работы составляют методы кредитного скоринга, фреймворк потенциальных исходов, модели оценки условного среднего эффекта воздействия, подходы к uplift-моделированию и методы оценки качества ранжирования. Методическую основу составляют воспроизводимый вычислительный эксперимент, синтетическая генерация причинного слоя поверх реального финансового набора данных, перекрестная проверка, бутстреп-оценка доверительных интервалов и бизнес-оценка коммуникационных политик.</w:t>
      </w:r>
    </w:p>
    <w:p>
      <w:pPr>
        <w:pStyle w:val="a1"/>
        <w:jc w:val="both"/>
      </w:pPr>
      <w:r>
        <w:rPr>
          <w:rFonts w:ascii="Times New Roman" w:hAnsi="Times New Roman" w:cs="Times New Roman"/>
          <w:sz w:val="28"/>
        </w:rPr>
        <w:t xml:space="preserve">Научная новизна работы состоит в смещении акцента с абстрактного сравнения алгоритмов на анализ условий применимости uplift-подхода в финтехе. В работе показывается, что риск-скоринг может выглядеть конкурентным не потому, что он оценивает причинный эффект, а потому, что в конкретном механизме данных высокий риск связан с высоким эффектом воздействия. Для проверки этого утверждения вводится сценарный анализ связи риска и эффекта, позволяющий отличить реальное преимущество причинной постановки от структурного преимущества риск-ориентированной стратегии.</w:t>
      </w:r>
    </w:p>
    <w:p>
      <w:pPr>
        <w:pStyle w:val="a1"/>
        <w:jc w:val="both"/>
      </w:pPr>
      <w:r>
        <w:rPr>
          <w:rFonts w:ascii="Times New Roman" w:hAnsi="Times New Roman" w:cs="Times New Roman"/>
          <w:sz w:val="28"/>
        </w:rPr>
        <w:t xml:space="preserve">Практическая значимость работы заключается в формировании набора проверок и требований для финансовой организации, рассматривающей внедрение uplift-моделей. К таким требованиям относятся наличие контрольной группы, достаточное перекрытие между группами воздействия и контроля, достаточный объем вызревших наблюдений по каждому каналу, защита от утечки информации, оценка статистической устойчивости результата и перевод модельного эффекта в экономическую ценность с учетом стоимости каналов.</w:t>
      </w:r>
    </w:p>
    <w:p>
      <w:pPr>
        <w:pStyle w:val="af8"/>
        <w:jc w:val="both"/>
      </w:pPr>
      <w:r>
        <w:rPr>
          <w:rFonts w:ascii="Times New Roman" w:hAnsi="Times New Roman" w:cs="Times New Roman"/>
          <w:sz w:val="24"/>
          <w:i/>
        </w:rPr>
        <w:t xml:space="preserve">Примечание для доработки: вставить сведения об апробации. Если выступления или публикации нет, можно сформулировать, что результаты апробированы на воспроизводимом программном стенде и представлены в виде набора ноутбуков, артефактов моделей и текста диссертации.</w:t>
      </w:r>
    </w:p>
    <w:p>
      <w:pPr>
        <w:pStyle w:val="a1"/>
        <w:jc w:val="both"/>
      </w:pPr>
      <w:r>
        <w:rPr>
          <w:rFonts w:ascii="Times New Roman" w:hAnsi="Times New Roman" w:cs="Times New Roman"/>
          <w:sz w:val="28"/>
        </w:rPr>
        <w:t xml:space="preserve">Работа состоит из введения, четырех глав, заключения, списка литературы и приложения. В первой главе uplift-подход рассматривается в широкой рамке финтех-задач выбора воздействия и формулируются барьеры внедрения. Во второй главе описывается методика причинной оценки, метрики и экономическая постановка. В третьей главе формируется воспроизводимый экспериментальный стенд на основе кредитных данных и синтетического причинного слоя. В четвертой главе представлены результаты моделей, сценарный анализ, бизнес-интерпретация и практические рекомендации по внедрению.</w:t>
      </w:r>
    </w:p>
    <w:p>
      <w:pPr>
        <w:pStyle w:val="1"/>
        <w:jc w:val="center"/>
      </w:pPr>
      <w:r>
        <w:rPr>
          <w:rFonts w:ascii="Times New Roman" w:hAnsi="Times New Roman" w:cs="Times New Roman"/>
          <w:sz w:val="28"/>
          <w:b/>
        </w:rPr>
        <w:t xml:space="preserve">ГЛАВА 1. UPLIFT-МОДЕЛИРОВАНИЕ КАК ИНСТРУМЕНТ ВЫБОРА ВОЗДЕЙСТВИЯ В ФИНТЕХЕ</w:t>
      </w:r>
    </w:p>
    <w:p>
      <w:pPr>
        <w:pStyle w:val="21"/>
        <w:jc w:val="left"/>
      </w:pPr>
      <w:r>
        <w:rPr>
          <w:rFonts w:ascii="Times New Roman" w:hAnsi="Times New Roman" w:cs="Times New Roman"/>
          <w:sz w:val="28"/>
          <w:b/>
        </w:rPr>
        <w:t xml:space="preserve">1.1. Финтех-задачи как задачи выбора управленческого воздействия</w:t>
      </w:r>
    </w:p>
    <w:p>
      <w:pPr>
        <w:pStyle w:val="a1"/>
        <w:jc w:val="both"/>
      </w:pPr>
      <w:r>
        <w:rPr>
          <w:rFonts w:ascii="Times New Roman" w:hAnsi="Times New Roman" w:cs="Times New Roman"/>
          <w:sz w:val="28"/>
        </w:rPr>
        <w:t xml:space="preserve">Многие задачи финтеха традиционно описываются как задачи прогнозирования: предсказать дефолт, уход клиента, мошенническую операцию, вероятность покупки продукта или вероятность выхода в просрочку. Однако в практическом процессе прогноз почти всегда используется для выбора действия. Организация не только узнает, что клиент рискованный, но и решает, нужно ли ему звонить, отправлять сообщение, предлагать реструктуризацию, повышать лимит, блокировать операцию или направлять обращение специалисту.</w:t>
      </w:r>
    </w:p>
    <w:p>
      <w:pPr>
        <w:pStyle w:val="a1"/>
        <w:jc w:val="both"/>
      </w:pPr>
      <w:r>
        <w:rPr>
          <w:rFonts w:ascii="Times New Roman" w:hAnsi="Times New Roman" w:cs="Times New Roman"/>
          <w:sz w:val="28"/>
        </w:rPr>
        <w:t xml:space="preserve">Такой переход от прогноза к действию меняет постановку задачи. Если действие имеет стоимость и может по-разному влиять на разных клиентов, то оптимальным является не клиент с максимальной вероятностью события, а клиент с максимальным ожидаемым изменением результата под воздействием. Это особенно важно в финтехе, где избыточное воздействие может не только увеличить операционные расходы, но и ухудшить клиентский опыт, вызвать жалобы или привести к нежелательным поведенческим реакциям.</w:t>
      </w:r>
    </w:p>
    <w:p>
      <w:pPr>
        <w:pStyle w:val="a1"/>
        <w:jc w:val="both"/>
      </w:pPr>
      <w:r>
        <w:rPr>
          <w:rFonts w:ascii="Times New Roman" w:hAnsi="Times New Roman" w:cs="Times New Roman"/>
          <w:sz w:val="28"/>
        </w:rPr>
        <w:t xml:space="preserve">Например, в задаче профилактики просрочки банк может связаться с заемщиком до наступления дефолта. Но звонок оператора дорогой и требует ограниченного ресурса контакт-центра. SMS дешевле, но может быть недостаточно для сложного случая. Автоматический звонок занимает промежуточное положение. Если контакт направить клиенту, который и так заплатил бы вовремя, банк получит лишние затраты. Если контакт направить клиенту, которому уже невозможно помочь, эффект также будет низким. Целевым становится клиент, чье поведение изменится именно из-за коммуникации.</w:t>
      </w:r>
    </w:p>
    <w:p>
      <w:pPr>
        <w:pStyle w:val="a1"/>
        <w:jc w:val="both"/>
      </w:pPr>
      <w:r>
        <w:rPr>
          <w:rFonts w:ascii="Times New Roman" w:hAnsi="Times New Roman" w:cs="Times New Roman"/>
          <w:sz w:val="28"/>
        </w:rPr>
        <w:t xml:space="preserve">Похожая логика возникает в других финансовых задачах. При удержании клиента важно отличить клиента, который останется без бонуса, от клиента, которого предложение действительно удержит. При кросс-продаже важно не тратить стимул на клиента с высокой органической вероятностью покупки. При управлении лимитами важно оценивать не только риск клиента, но и изменение доходности и риска при изменении лимита. При реструктуризации важно предложить льготу тем, кому она поможет вернуться в график, а не тем, кто заплатил бы и без нее.</w:t>
      </w:r>
    </w:p>
    <w:p>
      <w:pPr>
        <w:pStyle w:val="a1"/>
        <w:jc w:val="center"/>
      </w:pPr>
      <w:r>
        <w:rPr>
          <w:rFonts w:ascii="Times New Roman" w:hAnsi="Times New Roman" w:cs="Times New Roman"/>
          <w:sz w:val="28"/>
          <w:b/>
        </w:rPr>
        <w:t xml:space="preserve">Таблица 1.1 - Примеры финтех-задач, где возможна uplift-постановка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Задача</w:t>
            </w:r>
          </w:p>
        </w:tc>
        <w:tc>
          <w:tcPr>
            <w:tcW w:w="3000" w:type="dxa"/>
          </w:tcPr>
          <w:p>
            <w:pPr>
              <w:pStyle w:val="a1"/>
              <w:jc w:val="left"/>
            </w:pPr>
            <w:r>
              <w:rPr>
                <w:rFonts w:ascii="Times New Roman" w:hAnsi="Times New Roman" w:cs="Times New Roman"/>
                <w:sz w:val="24"/>
                <w:b/>
              </w:rPr>
              <w:t xml:space="preserve">Воздействие</w:t>
            </w:r>
          </w:p>
        </w:tc>
        <w:tc>
          <w:tcPr>
            <w:tcW w:w="3000" w:type="dxa"/>
          </w:tcPr>
          <w:p>
            <w:pPr>
              <w:pStyle w:val="a1"/>
              <w:jc w:val="left"/>
            </w:pPr>
            <w:r>
              <w:rPr>
                <w:rFonts w:ascii="Times New Roman" w:hAnsi="Times New Roman" w:cs="Times New Roman"/>
                <w:sz w:val="24"/>
                <w:b/>
              </w:rPr>
              <w:t xml:space="preserve">Исход</w:t>
            </w:r>
          </w:p>
        </w:tc>
        <w:tc>
          <w:tcPr>
            <w:tcW w:w="3000" w:type="dxa"/>
          </w:tcPr>
          <w:p>
            <w:pPr>
              <w:pStyle w:val="a1"/>
              <w:jc w:val="left"/>
            </w:pPr>
            <w:r>
              <w:rPr>
                <w:rFonts w:ascii="Times New Roman" w:hAnsi="Times New Roman" w:cs="Times New Roman"/>
                <w:sz w:val="24"/>
                <w:b/>
              </w:rPr>
              <w:t xml:space="preserve">Зачем оценивать индивидуальный эффект</w:t>
            </w:r>
          </w:p>
        </w:tc>
      </w:tr>
      <w:tr>
        <w:tc>
          <w:tcPr>
            <w:tcW w:w="3000" w:type="dxa"/>
          </w:tcPr>
          <w:p>
            <w:pPr>
              <w:pStyle w:val="a1"/>
              <w:jc w:val="left"/>
            </w:pPr>
            <w:r>
              <w:rPr>
                <w:rFonts w:ascii="Times New Roman" w:hAnsi="Times New Roman" w:cs="Times New Roman"/>
                <w:sz w:val="24"/>
              </w:rPr>
              <w:t xml:space="preserve">Профилактика просрочки</w:t>
            </w:r>
          </w:p>
        </w:tc>
        <w:tc>
          <w:tcPr>
            <w:tcW w:w="3000" w:type="dxa"/>
          </w:tcPr>
          <w:p>
            <w:pPr>
              <w:pStyle w:val="a1"/>
              <w:jc w:val="left"/>
            </w:pPr>
            <w:r>
              <w:rPr>
                <w:rFonts w:ascii="Times New Roman" w:hAnsi="Times New Roman" w:cs="Times New Roman"/>
                <w:sz w:val="24"/>
              </w:rPr>
              <w:t xml:space="preserve">SMS, робот, оператор, отсутствие контакта</w:t>
            </w:r>
          </w:p>
        </w:tc>
        <w:tc>
          <w:tcPr>
            <w:tcW w:w="3000" w:type="dxa"/>
          </w:tcPr>
          <w:p>
            <w:pPr>
              <w:pStyle w:val="a1"/>
              <w:jc w:val="left"/>
            </w:pPr>
            <w:r>
              <w:rPr>
                <w:rFonts w:ascii="Times New Roman" w:hAnsi="Times New Roman" w:cs="Times New Roman"/>
                <w:sz w:val="24"/>
              </w:rPr>
              <w:t xml:space="preserve">Дефолт или своевременный платеж</w:t>
            </w:r>
          </w:p>
        </w:tc>
        <w:tc>
          <w:tcPr>
            <w:tcW w:w="3000" w:type="dxa"/>
          </w:tcPr>
          <w:p>
            <w:pPr>
              <w:pStyle w:val="a1"/>
              <w:jc w:val="left"/>
            </w:pPr>
            <w:r>
              <w:rPr>
                <w:rFonts w:ascii="Times New Roman" w:hAnsi="Times New Roman" w:cs="Times New Roman"/>
                <w:sz w:val="24"/>
              </w:rPr>
              <w:t xml:space="preserve">Выбрать клиентов, которым контакт реально снижает риск</w:t>
            </w:r>
          </w:p>
        </w:tc>
      </w:tr>
      <w:tr>
        <w:tc>
          <w:tcPr>
            <w:tcW w:w="3000" w:type="dxa"/>
          </w:tcPr>
          <w:p>
            <w:pPr>
              <w:pStyle w:val="a1"/>
              <w:jc w:val="left"/>
            </w:pPr>
            <w:r>
              <w:rPr>
                <w:rFonts w:ascii="Times New Roman" w:hAnsi="Times New Roman" w:cs="Times New Roman"/>
                <w:sz w:val="24"/>
              </w:rPr>
              <w:t xml:space="preserve">Реструктуризация</w:t>
            </w:r>
          </w:p>
        </w:tc>
        <w:tc>
          <w:tcPr>
            <w:tcW w:w="3000" w:type="dxa"/>
          </w:tcPr>
          <w:p>
            <w:pPr>
              <w:pStyle w:val="a1"/>
              <w:jc w:val="left"/>
            </w:pPr>
            <w:r>
              <w:rPr>
                <w:rFonts w:ascii="Times New Roman" w:hAnsi="Times New Roman" w:cs="Times New Roman"/>
                <w:sz w:val="24"/>
              </w:rPr>
              <w:t xml:space="preserve">Каникулы, изменение графика, консультация</w:t>
            </w:r>
          </w:p>
        </w:tc>
        <w:tc>
          <w:tcPr>
            <w:tcW w:w="3000" w:type="dxa"/>
          </w:tcPr>
          <w:p>
            <w:pPr>
              <w:pStyle w:val="a1"/>
              <w:jc w:val="left"/>
            </w:pPr>
            <w:r>
              <w:rPr>
                <w:rFonts w:ascii="Times New Roman" w:hAnsi="Times New Roman" w:cs="Times New Roman"/>
                <w:sz w:val="24"/>
              </w:rPr>
              <w:t xml:space="preserve">Возврат в график платежей</w:t>
            </w:r>
          </w:p>
        </w:tc>
        <w:tc>
          <w:tcPr>
            <w:tcW w:w="3000" w:type="dxa"/>
          </w:tcPr>
          <w:p>
            <w:pPr>
              <w:pStyle w:val="a1"/>
              <w:jc w:val="left"/>
            </w:pPr>
            <w:r>
              <w:rPr>
                <w:rFonts w:ascii="Times New Roman" w:hAnsi="Times New Roman" w:cs="Times New Roman"/>
                <w:sz w:val="24"/>
              </w:rPr>
              <w:t xml:space="preserve">Не предоставлять льготу тем, кто заплатил бы без нее</w:t>
            </w:r>
          </w:p>
        </w:tc>
      </w:tr>
      <w:tr>
        <w:tc>
          <w:tcPr>
            <w:tcW w:w="3000" w:type="dxa"/>
          </w:tcPr>
          <w:p>
            <w:pPr>
              <w:pStyle w:val="a1"/>
              <w:jc w:val="left"/>
            </w:pPr>
            <w:r>
              <w:rPr>
                <w:rFonts w:ascii="Times New Roman" w:hAnsi="Times New Roman" w:cs="Times New Roman"/>
                <w:sz w:val="24"/>
              </w:rPr>
              <w:t xml:space="preserve">Удержание клиента</w:t>
            </w:r>
          </w:p>
        </w:tc>
        <w:tc>
          <w:tcPr>
            <w:tcW w:w="3000" w:type="dxa"/>
          </w:tcPr>
          <w:p>
            <w:pPr>
              <w:pStyle w:val="a1"/>
              <w:jc w:val="left"/>
            </w:pPr>
            <w:r>
              <w:rPr>
                <w:rFonts w:ascii="Times New Roman" w:hAnsi="Times New Roman" w:cs="Times New Roman"/>
                <w:sz w:val="24"/>
              </w:rPr>
              <w:t xml:space="preserve">Персональное предложение или звонок</w:t>
            </w:r>
          </w:p>
        </w:tc>
        <w:tc>
          <w:tcPr>
            <w:tcW w:w="3000" w:type="dxa"/>
          </w:tcPr>
          <w:p>
            <w:pPr>
              <w:pStyle w:val="a1"/>
              <w:jc w:val="left"/>
            </w:pPr>
            <w:r>
              <w:rPr>
                <w:rFonts w:ascii="Times New Roman" w:hAnsi="Times New Roman" w:cs="Times New Roman"/>
                <w:sz w:val="24"/>
              </w:rPr>
              <w:t xml:space="preserve">Сохранение клиента</w:t>
            </w:r>
          </w:p>
        </w:tc>
        <w:tc>
          <w:tcPr>
            <w:tcW w:w="3000" w:type="dxa"/>
          </w:tcPr>
          <w:p>
            <w:pPr>
              <w:pStyle w:val="a1"/>
              <w:jc w:val="left"/>
            </w:pPr>
            <w:r>
              <w:rPr>
                <w:rFonts w:ascii="Times New Roman" w:hAnsi="Times New Roman" w:cs="Times New Roman"/>
                <w:sz w:val="24"/>
              </w:rPr>
              <w:t xml:space="preserve">Отделить убеждаемых клиентов от тех, кто останется сам</w:t>
            </w:r>
          </w:p>
        </w:tc>
      </w:tr>
      <w:tr>
        <w:tc>
          <w:tcPr>
            <w:tcW w:w="3000" w:type="dxa"/>
          </w:tcPr>
          <w:p>
            <w:pPr>
              <w:pStyle w:val="a1"/>
              <w:jc w:val="left"/>
            </w:pPr>
            <w:r>
              <w:rPr>
                <w:rFonts w:ascii="Times New Roman" w:hAnsi="Times New Roman" w:cs="Times New Roman"/>
                <w:sz w:val="24"/>
              </w:rPr>
              <w:t xml:space="preserve">Кросс-продажа</w:t>
            </w:r>
          </w:p>
        </w:tc>
        <w:tc>
          <w:tcPr>
            <w:tcW w:w="3000" w:type="dxa"/>
          </w:tcPr>
          <w:p>
            <w:pPr>
              <w:pStyle w:val="a1"/>
              <w:jc w:val="left"/>
            </w:pPr>
            <w:r>
              <w:rPr>
                <w:rFonts w:ascii="Times New Roman" w:hAnsi="Times New Roman" w:cs="Times New Roman"/>
                <w:sz w:val="24"/>
              </w:rPr>
              <w:t xml:space="preserve">Предложение карты, страховки или сервиса</w:t>
            </w:r>
          </w:p>
        </w:tc>
        <w:tc>
          <w:tcPr>
            <w:tcW w:w="3000" w:type="dxa"/>
          </w:tcPr>
          <w:p>
            <w:pPr>
              <w:pStyle w:val="a1"/>
              <w:jc w:val="left"/>
            </w:pPr>
            <w:r>
              <w:rPr>
                <w:rFonts w:ascii="Times New Roman" w:hAnsi="Times New Roman" w:cs="Times New Roman"/>
                <w:sz w:val="24"/>
              </w:rPr>
              <w:t xml:space="preserve">Покупка продукта</w:t>
            </w:r>
          </w:p>
        </w:tc>
        <w:tc>
          <w:tcPr>
            <w:tcW w:w="3000" w:type="dxa"/>
          </w:tcPr>
          <w:p>
            <w:pPr>
              <w:pStyle w:val="a1"/>
              <w:jc w:val="left"/>
            </w:pPr>
            <w:r>
              <w:rPr>
                <w:rFonts w:ascii="Times New Roman" w:hAnsi="Times New Roman" w:cs="Times New Roman"/>
                <w:sz w:val="24"/>
              </w:rPr>
              <w:t xml:space="preserve">Снизить стоимость стимулов и лишних контактов</w:t>
            </w:r>
          </w:p>
        </w:tc>
      </w:tr>
      <w:tr>
        <w:tc>
          <w:tcPr>
            <w:tcW w:w="3000" w:type="dxa"/>
          </w:tcPr>
          <w:p>
            <w:pPr>
              <w:pStyle w:val="a1"/>
              <w:jc w:val="left"/>
            </w:pPr>
            <w:r>
              <w:rPr>
                <w:rFonts w:ascii="Times New Roman" w:hAnsi="Times New Roman" w:cs="Times New Roman"/>
                <w:sz w:val="24"/>
              </w:rPr>
              <w:t xml:space="preserve">Управление лимитом</w:t>
            </w:r>
          </w:p>
        </w:tc>
        <w:tc>
          <w:tcPr>
            <w:tcW w:w="3000" w:type="dxa"/>
          </w:tcPr>
          <w:p>
            <w:pPr>
              <w:pStyle w:val="a1"/>
              <w:jc w:val="left"/>
            </w:pPr>
            <w:r>
              <w:rPr>
                <w:rFonts w:ascii="Times New Roman" w:hAnsi="Times New Roman" w:cs="Times New Roman"/>
                <w:sz w:val="24"/>
              </w:rPr>
              <w:t xml:space="preserve">Повышение, снижение или сохранение лимита</w:t>
            </w:r>
          </w:p>
        </w:tc>
        <w:tc>
          <w:tcPr>
            <w:tcW w:w="3000" w:type="dxa"/>
          </w:tcPr>
          <w:p>
            <w:pPr>
              <w:pStyle w:val="a1"/>
              <w:jc w:val="left"/>
            </w:pPr>
            <w:r>
              <w:rPr>
                <w:rFonts w:ascii="Times New Roman" w:hAnsi="Times New Roman" w:cs="Times New Roman"/>
                <w:sz w:val="24"/>
              </w:rPr>
              <w:t xml:space="preserve">Доходность и риск</w:t>
            </w:r>
          </w:p>
        </w:tc>
        <w:tc>
          <w:tcPr>
            <w:tcW w:w="3000" w:type="dxa"/>
          </w:tcPr>
          <w:p>
            <w:pPr>
              <w:pStyle w:val="a1"/>
              <w:jc w:val="left"/>
            </w:pPr>
            <w:r>
              <w:rPr>
                <w:rFonts w:ascii="Times New Roman" w:hAnsi="Times New Roman" w:cs="Times New Roman"/>
                <w:sz w:val="24"/>
              </w:rPr>
              <w:t xml:space="preserve">Оценить изменение результата, а не только текущий риск</w:t>
            </w:r>
          </w:p>
        </w:tc>
      </w:tr>
      <w:tr>
        <w:tc>
          <w:tcPr>
            <w:tcW w:w="3000" w:type="dxa"/>
          </w:tcPr>
          <w:p>
            <w:pPr>
              <w:pStyle w:val="a1"/>
              <w:jc w:val="left"/>
            </w:pPr>
            <w:r>
              <w:rPr>
                <w:rFonts w:ascii="Times New Roman" w:hAnsi="Times New Roman" w:cs="Times New Roman"/>
                <w:sz w:val="24"/>
              </w:rPr>
              <w:t xml:space="preserve">Мягкое взыскание</w:t>
            </w:r>
          </w:p>
        </w:tc>
        <w:tc>
          <w:tcPr>
            <w:tcW w:w="3000" w:type="dxa"/>
          </w:tcPr>
          <w:p>
            <w:pPr>
              <w:pStyle w:val="a1"/>
              <w:jc w:val="left"/>
            </w:pPr>
            <w:r>
              <w:rPr>
                <w:rFonts w:ascii="Times New Roman" w:hAnsi="Times New Roman" w:cs="Times New Roman"/>
                <w:sz w:val="24"/>
              </w:rPr>
              <w:t xml:space="preserve">Канал и интенсивность контакта</w:t>
            </w:r>
          </w:p>
        </w:tc>
        <w:tc>
          <w:tcPr>
            <w:tcW w:w="3000" w:type="dxa"/>
          </w:tcPr>
          <w:p>
            <w:pPr>
              <w:pStyle w:val="a1"/>
              <w:jc w:val="left"/>
            </w:pPr>
            <w:r>
              <w:rPr>
                <w:rFonts w:ascii="Times New Roman" w:hAnsi="Times New Roman" w:cs="Times New Roman"/>
                <w:sz w:val="24"/>
              </w:rPr>
              <w:t xml:space="preserve">Погашение задолженности</w:t>
            </w:r>
          </w:p>
        </w:tc>
        <w:tc>
          <w:tcPr>
            <w:tcW w:w="3000" w:type="dxa"/>
          </w:tcPr>
          <w:p>
            <w:pPr>
              <w:pStyle w:val="a1"/>
              <w:jc w:val="left"/>
            </w:pPr>
            <w:r>
              <w:rPr>
                <w:rFonts w:ascii="Times New Roman" w:hAnsi="Times New Roman" w:cs="Times New Roman"/>
                <w:sz w:val="24"/>
              </w:rPr>
              <w:t xml:space="preserve">Снизить давление на клиента и стоимость работы</w:t>
            </w:r>
          </w:p>
        </w:tc>
      </w:tr>
      <w:tr>
        <w:tc>
          <w:tcPr>
            <w:tcW w:w="3000" w:type="dxa"/>
          </w:tcPr>
          <w:p>
            <w:pPr>
              <w:pStyle w:val="a1"/>
              <w:jc w:val="left"/>
            </w:pPr>
            <w:r>
              <w:rPr>
                <w:rFonts w:ascii="Times New Roman" w:hAnsi="Times New Roman" w:cs="Times New Roman"/>
                <w:sz w:val="24"/>
              </w:rPr>
              <w:t xml:space="preserve">Предотвращение фрода</w:t>
            </w:r>
          </w:p>
        </w:tc>
        <w:tc>
          <w:tcPr>
            <w:tcW w:w="3000" w:type="dxa"/>
          </w:tcPr>
          <w:p>
            <w:pPr>
              <w:pStyle w:val="a1"/>
              <w:jc w:val="left"/>
            </w:pPr>
            <w:r>
              <w:rPr>
                <w:rFonts w:ascii="Times New Roman" w:hAnsi="Times New Roman" w:cs="Times New Roman"/>
                <w:sz w:val="24"/>
              </w:rPr>
              <w:t xml:space="preserve">Дополнительная проверка или блокировка</w:t>
            </w:r>
          </w:p>
        </w:tc>
        <w:tc>
          <w:tcPr>
            <w:tcW w:w="3000" w:type="dxa"/>
          </w:tcPr>
          <w:p>
            <w:pPr>
              <w:pStyle w:val="a1"/>
              <w:jc w:val="left"/>
            </w:pPr>
            <w:r>
              <w:rPr>
                <w:rFonts w:ascii="Times New Roman" w:hAnsi="Times New Roman" w:cs="Times New Roman"/>
                <w:sz w:val="24"/>
              </w:rPr>
              <w:t xml:space="preserve">Предотвращенная потеря</w:t>
            </w:r>
          </w:p>
        </w:tc>
        <w:tc>
          <w:tcPr>
            <w:tcW w:w="3000" w:type="dxa"/>
          </w:tcPr>
          <w:p>
            <w:pPr>
              <w:pStyle w:val="a1"/>
              <w:jc w:val="left"/>
            </w:pPr>
            <w:r>
              <w:rPr>
                <w:rFonts w:ascii="Times New Roman" w:hAnsi="Times New Roman" w:cs="Times New Roman"/>
                <w:sz w:val="24"/>
              </w:rPr>
              <w:t xml:space="preserve">Применять осторожно, когда контроль этически допустим</w:t>
            </w:r>
          </w:p>
        </w:tc>
      </w:tr>
    </w:tbl>
    <w:p>
      <w:pPr>
        <w:pStyle w:val="a1"/>
        <w:jc w:val="both"/>
      </w:pPr>
      <w:r>
        <w:rPr>
          <w:rFonts w:ascii="Times New Roman" w:hAnsi="Times New Roman" w:cs="Times New Roman"/>
          <w:sz w:val="28"/>
        </w:rPr>
        <w:t xml:space="preserve">Из таблицы видно, что uplift-подход не ограничивается маркетингом. Он применим к широкому классу задач, где есть управляемое действие, измеримый исход и неоднородная реакция клиентов. Однако наличие такой постановки не означает автоматической возможности внедрения. Для причинной оценки нужны данные, в которых можно хотя бы частично сравнивать похожих клиентов с разными воздействиями. В противном случае модель будет смешивать эффект действия с исходными различиями клиентов.</w:t>
      </w:r>
    </w:p>
    <w:p>
      <w:pPr>
        <w:pStyle w:val="a1"/>
        <w:jc w:val="both"/>
      </w:pPr>
      <w:r>
        <w:rPr>
          <w:rFonts w:ascii="Times New Roman" w:hAnsi="Times New Roman" w:cs="Times New Roman"/>
          <w:sz w:val="28"/>
        </w:rPr>
        <w:t xml:space="preserve">В данной работе широкий класс финтех-задач используется как рамка, а экспериментальная проверка проводится на задаче кредитных коммуникаций. Такой выбор обоснован тем, что в этой задаче одновременно присутствуют основные методологические сложности: редкий негативный исход, задержка наблюдения результата, неслучайное назначение воздействия, несколько каналов с разной стоимостью и потенциально отрицательный эффект от лишнего контакта.</w:t>
      </w:r>
    </w:p>
    <w:p>
      <w:pPr>
        <w:pStyle w:val="21"/>
        <w:jc w:val="left"/>
      </w:pPr>
      <w:r>
        <w:rPr>
          <w:rFonts w:ascii="Times New Roman" w:hAnsi="Times New Roman" w:cs="Times New Roman"/>
          <w:sz w:val="28"/>
          <w:b/>
        </w:rPr>
        <w:t xml:space="preserve">1.2. Почему риск-скоринг не заменяет оценку индивидуального эффекта</w:t>
      </w:r>
    </w:p>
    <w:p>
      <w:pPr>
        <w:pStyle w:val="a1"/>
        <w:jc w:val="both"/>
      </w:pPr>
      <w:r>
        <w:rPr>
          <w:rFonts w:ascii="Times New Roman" w:hAnsi="Times New Roman" w:cs="Times New Roman"/>
          <w:sz w:val="28"/>
        </w:rPr>
        <w:t xml:space="preserve">Кредитный риск-скоринг является одним из наиболее зрелых направлений применения машинного обучения в финансовых организациях. Он позволяет оценивать вероятность дефолта, ранжировать клиентов по уровню риска, формировать правила принятия решений и контролировать качество портфеля. Для многих задач этого достаточно: если банк принимает решение о выдаче кредита или уровне резервирования, вероятность дефолта является центральной величиной.</w:t>
      </w:r>
    </w:p>
    <w:p>
      <w:pPr>
        <w:pStyle w:val="a1"/>
        <w:jc w:val="both"/>
      </w:pPr>
      <w:r>
        <w:rPr>
          <w:rFonts w:ascii="Times New Roman" w:hAnsi="Times New Roman" w:cs="Times New Roman"/>
          <w:sz w:val="28"/>
        </w:rPr>
        <w:t xml:space="preserve">В задачах коммуникации с клиентом ситуация другая. Банк заинтересован не просто в том, чтобы найти рискованных клиентов, а в том, чтобы выбрать тех, для кого воздействие снизит вероятность дефолта. Риск и изменяемость поведения не являются одним и тем же. Высокорисковый клиент может находиться в состоянии, где напоминание уже не поможет. Низкорисковый клиент может заплатить вовремя без любого воздействия. Наиболее ценный сегмент может находиться между этими крайностями: у таких клиентов есть риск, но есть и возможность изменить поведение.</w:t>
      </w:r>
    </w:p>
    <w:p>
      <w:pPr>
        <w:pStyle w:val="a1"/>
        <w:jc w:val="both"/>
      </w:pPr>
      <w:r>
        <w:rPr>
          <w:rFonts w:ascii="Times New Roman" w:hAnsi="Times New Roman" w:cs="Times New Roman"/>
          <w:sz w:val="28"/>
        </w:rPr>
        <w:t xml:space="preserve">Для описания этой идеи удобно использовать четыре типа реакции. Клиенты типа sure things выполнят обязательство независимо от коммуникации. Клиенты типа lost causes уйдут в дефолт независимо от коммуникации. Клиенты типа persuadables изменят поведение из-за воздействия, и именно они являются основной целью uplift-подхода. Клиенты типа sleeping dogs могут отреагировать отрицательно: лишний звонок или слишком жесткое напоминание повышает риск негативного исхода. Риск-скоринг не различает эти группы, потому что он обучается предсказывать итоговый исход, а не изменение исхода под воздействием.</w:t>
      </w:r>
    </w:p>
    <w:p>
      <w:pPr>
        <w:pStyle w:val="a1"/>
        <w:jc w:val="both"/>
      </w:pPr>
      <w:r>
        <w:rPr>
          <w:rFonts w:ascii="Times New Roman" w:hAnsi="Times New Roman" w:cs="Times New Roman"/>
          <w:sz w:val="28"/>
        </w:rPr>
        <w:t xml:space="preserve">Риск-ориентированная стратегия может быть сильной в частном случае, когда высокий риск одновременно означает высокий потенциальный эффект коммуникации. В кредитных процессах такая ситуация действительно возможна: банк чаще контактирует клиентов с признаками платежных трудностей, а у части таких клиентов напоминание способно предотвратить просрочку. Но это не универсальный закон. В другом портфеле самые рискованные клиенты могут быть уже неуправляемыми, а клиенты среднего риска - наиболее чувствительными к мягкому контакту.</w:t>
      </w:r>
    </w:p>
    <w:p>
      <w:pPr>
        <w:pStyle w:val="a1"/>
        <w:jc w:val="both"/>
      </w:pPr>
      <w:r>
        <w:rPr>
          <w:rFonts w:ascii="Times New Roman" w:hAnsi="Times New Roman" w:cs="Times New Roman"/>
          <w:sz w:val="28"/>
        </w:rPr>
        <w:t xml:space="preserve">Поэтому ключевой методологический вопрос состоит не в том, лучше ли uplift-модель любой риск-модели. Более корректная постановка звучит так: при каких условиях риск-скоринг является достаточной практической эвристикой, а при каких условиях требуется явная оценка индивидуального эффекта воздействия. Настоящая работа выстраивается вокруг этого вопроса.</w:t>
      </w:r>
    </w:p>
    <w:p>
      <w:pPr>
        <w:pStyle w:val="a1"/>
        <w:jc w:val="center"/>
      </w:pPr>
      <w:r>
        <w:rPr>
          <w:rFonts w:ascii="Times New Roman" w:hAnsi="Times New Roman" w:cs="Times New Roman"/>
          <w:sz w:val="28"/>
          <w:b/>
        </w:rPr>
        <w:t xml:space="preserve">Таблица 1.2 - Различие между риск-скорингом и uplift-подходом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Подход</w:t>
            </w:r>
          </w:p>
        </w:tc>
        <w:tc>
          <w:tcPr>
            <w:tcW w:w="3000" w:type="dxa"/>
          </w:tcPr>
          <w:p>
            <w:pPr>
              <w:pStyle w:val="a1"/>
              <w:jc w:val="left"/>
            </w:pPr>
            <w:r>
              <w:rPr>
                <w:rFonts w:ascii="Times New Roman" w:hAnsi="Times New Roman" w:cs="Times New Roman"/>
                <w:sz w:val="24"/>
                <w:b/>
              </w:rPr>
              <w:t xml:space="preserve">Что оценивает</w:t>
            </w:r>
          </w:p>
        </w:tc>
        <w:tc>
          <w:tcPr>
            <w:tcW w:w="3000" w:type="dxa"/>
          </w:tcPr>
          <w:p>
            <w:pPr>
              <w:pStyle w:val="a1"/>
              <w:jc w:val="left"/>
            </w:pPr>
            <w:r>
              <w:rPr>
                <w:rFonts w:ascii="Times New Roman" w:hAnsi="Times New Roman" w:cs="Times New Roman"/>
                <w:sz w:val="24"/>
                <w:b/>
              </w:rPr>
              <w:t xml:space="preserve">Когда полезен</w:t>
            </w:r>
          </w:p>
        </w:tc>
        <w:tc>
          <w:tcPr>
            <w:tcW w:w="3000" w:type="dxa"/>
          </w:tcPr>
          <w:p>
            <w:pPr>
              <w:pStyle w:val="a1"/>
              <w:jc w:val="left"/>
            </w:pPr>
            <w:r>
              <w:rPr>
                <w:rFonts w:ascii="Times New Roman" w:hAnsi="Times New Roman" w:cs="Times New Roman"/>
                <w:sz w:val="24"/>
                <w:b/>
              </w:rPr>
              <w:t xml:space="preserve">Ограничение</w:t>
            </w:r>
          </w:p>
        </w:tc>
      </w:tr>
      <w:tr>
        <w:tc>
          <w:tcPr>
            <w:tcW w:w="3000" w:type="dxa"/>
          </w:tcPr>
          <w:p>
            <w:pPr>
              <w:pStyle w:val="a1"/>
              <w:jc w:val="left"/>
            </w:pPr>
            <w:r>
              <w:rPr>
                <w:rFonts w:ascii="Times New Roman" w:hAnsi="Times New Roman" w:cs="Times New Roman"/>
                <w:sz w:val="24"/>
              </w:rPr>
              <w:t xml:space="preserve">Правила бизнеса</w:t>
            </w:r>
          </w:p>
        </w:tc>
        <w:tc>
          <w:tcPr>
            <w:tcW w:w="3000" w:type="dxa"/>
          </w:tcPr>
          <w:p>
            <w:pPr>
              <w:pStyle w:val="a1"/>
              <w:jc w:val="left"/>
            </w:pPr>
            <w:r>
              <w:rPr>
                <w:rFonts w:ascii="Times New Roman" w:hAnsi="Times New Roman" w:cs="Times New Roman"/>
                <w:sz w:val="24"/>
              </w:rPr>
              <w:t xml:space="preserve">Принадлежность к заранее заданному сегменту</w:t>
            </w:r>
          </w:p>
        </w:tc>
        <w:tc>
          <w:tcPr>
            <w:tcW w:w="3000" w:type="dxa"/>
          </w:tcPr>
          <w:p>
            <w:pPr>
              <w:pStyle w:val="a1"/>
              <w:jc w:val="left"/>
            </w:pPr>
            <w:r>
              <w:rPr>
                <w:rFonts w:ascii="Times New Roman" w:hAnsi="Times New Roman" w:cs="Times New Roman"/>
                <w:sz w:val="24"/>
              </w:rPr>
              <w:t xml:space="preserve">Когда процесс прост и хорошо описан экспертно</w:t>
            </w:r>
          </w:p>
        </w:tc>
        <w:tc>
          <w:tcPr>
            <w:tcW w:w="3000" w:type="dxa"/>
          </w:tcPr>
          <w:p>
            <w:pPr>
              <w:pStyle w:val="a1"/>
              <w:jc w:val="left"/>
            </w:pPr>
            <w:r>
              <w:rPr>
                <w:rFonts w:ascii="Times New Roman" w:hAnsi="Times New Roman" w:cs="Times New Roman"/>
                <w:sz w:val="24"/>
              </w:rPr>
              <w:t xml:space="preserve">Не учитывают индивидуальную реакцию</w:t>
            </w:r>
          </w:p>
        </w:tc>
      </w:tr>
      <w:tr>
        <w:tc>
          <w:tcPr>
            <w:tcW w:w="3000" w:type="dxa"/>
          </w:tcPr>
          <w:p>
            <w:pPr>
              <w:pStyle w:val="a1"/>
              <w:jc w:val="left"/>
            </w:pPr>
            <w:r>
              <w:rPr>
                <w:rFonts w:ascii="Times New Roman" w:hAnsi="Times New Roman" w:cs="Times New Roman"/>
                <w:sz w:val="24"/>
              </w:rPr>
              <w:t xml:space="preserve">Риск-скоринг</w:t>
            </w:r>
          </w:p>
        </w:tc>
        <w:tc>
          <w:tcPr>
            <w:tcW w:w="3000" w:type="dxa"/>
          </w:tcPr>
          <w:p>
            <w:pPr>
              <w:pStyle w:val="a1"/>
              <w:jc w:val="left"/>
            </w:pPr>
            <w:r>
              <w:rPr>
                <w:rFonts w:ascii="Times New Roman" w:hAnsi="Times New Roman" w:cs="Times New Roman"/>
                <w:sz w:val="24"/>
              </w:rPr>
              <w:t xml:space="preserve">Вероятность дефолта или другого события</w:t>
            </w:r>
          </w:p>
        </w:tc>
        <w:tc>
          <w:tcPr>
            <w:tcW w:w="3000" w:type="dxa"/>
          </w:tcPr>
          <w:p>
            <w:pPr>
              <w:pStyle w:val="a1"/>
              <w:jc w:val="left"/>
            </w:pPr>
            <w:r>
              <w:rPr>
                <w:rFonts w:ascii="Times New Roman" w:hAnsi="Times New Roman" w:cs="Times New Roman"/>
                <w:sz w:val="24"/>
              </w:rPr>
              <w:t xml:space="preserve">Когда нужен прогноз риска и риск связан с ценностью действия</w:t>
            </w:r>
          </w:p>
        </w:tc>
        <w:tc>
          <w:tcPr>
            <w:tcW w:w="3000" w:type="dxa"/>
          </w:tcPr>
          <w:p>
            <w:pPr>
              <w:pStyle w:val="a1"/>
              <w:jc w:val="left"/>
            </w:pPr>
            <w:r>
              <w:rPr>
                <w:rFonts w:ascii="Times New Roman" w:hAnsi="Times New Roman" w:cs="Times New Roman"/>
                <w:sz w:val="24"/>
              </w:rPr>
              <w:t xml:space="preserve">Не измеряет причинный эффект воздействия</w:t>
            </w:r>
          </w:p>
        </w:tc>
      </w:tr>
      <w:tr>
        <w:tc>
          <w:tcPr>
            <w:tcW w:w="3000" w:type="dxa"/>
          </w:tcPr>
          <w:p>
            <w:pPr>
              <w:pStyle w:val="a1"/>
              <w:jc w:val="left"/>
            </w:pPr>
            <w:r>
              <w:rPr>
                <w:rFonts w:ascii="Times New Roman" w:hAnsi="Times New Roman" w:cs="Times New Roman"/>
                <w:sz w:val="24"/>
              </w:rPr>
              <w:t xml:space="preserve">A/B-тест</w:t>
            </w:r>
          </w:p>
        </w:tc>
        <w:tc>
          <w:tcPr>
            <w:tcW w:w="3000" w:type="dxa"/>
          </w:tcPr>
          <w:p>
            <w:pPr>
              <w:pStyle w:val="a1"/>
              <w:jc w:val="left"/>
            </w:pPr>
            <w:r>
              <w:rPr>
                <w:rFonts w:ascii="Times New Roman" w:hAnsi="Times New Roman" w:cs="Times New Roman"/>
                <w:sz w:val="24"/>
              </w:rPr>
              <w:t xml:space="preserve">Средний эффект кампании</w:t>
            </w:r>
          </w:p>
        </w:tc>
        <w:tc>
          <w:tcPr>
            <w:tcW w:w="3000" w:type="dxa"/>
          </w:tcPr>
          <w:p>
            <w:pPr>
              <w:pStyle w:val="a1"/>
              <w:jc w:val="left"/>
            </w:pPr>
            <w:r>
              <w:rPr>
                <w:rFonts w:ascii="Times New Roman" w:hAnsi="Times New Roman" w:cs="Times New Roman"/>
                <w:sz w:val="24"/>
              </w:rPr>
              <w:t xml:space="preserve">Когда нужно проверить действие в среднем</w:t>
            </w:r>
          </w:p>
        </w:tc>
        <w:tc>
          <w:tcPr>
            <w:tcW w:w="3000" w:type="dxa"/>
          </w:tcPr>
          <w:p>
            <w:pPr>
              <w:pStyle w:val="a1"/>
              <w:jc w:val="left"/>
            </w:pPr>
            <w:r>
              <w:rPr>
                <w:rFonts w:ascii="Times New Roman" w:hAnsi="Times New Roman" w:cs="Times New Roman"/>
                <w:sz w:val="24"/>
              </w:rPr>
              <w:t xml:space="preserve">Не дает индивидуального выбора клиентов и каналов</w:t>
            </w:r>
          </w:p>
        </w:tc>
      </w:tr>
      <w:tr>
        <w:tc>
          <w:tcPr>
            <w:tcW w:w="3000" w:type="dxa"/>
          </w:tcPr>
          <w:p>
            <w:pPr>
              <w:pStyle w:val="a1"/>
              <w:jc w:val="left"/>
            </w:pPr>
            <w:r>
              <w:rPr>
                <w:rFonts w:ascii="Times New Roman" w:hAnsi="Times New Roman" w:cs="Times New Roman"/>
                <w:sz w:val="24"/>
              </w:rPr>
              <w:t xml:space="preserve">Uplift-моделирование</w:t>
            </w:r>
          </w:p>
        </w:tc>
        <w:tc>
          <w:tcPr>
            <w:tcW w:w="3000" w:type="dxa"/>
          </w:tcPr>
          <w:p>
            <w:pPr>
              <w:pStyle w:val="a1"/>
              <w:jc w:val="left"/>
            </w:pPr>
            <w:r>
              <w:rPr>
                <w:rFonts w:ascii="Times New Roman" w:hAnsi="Times New Roman" w:cs="Times New Roman"/>
                <w:sz w:val="24"/>
              </w:rPr>
              <w:t xml:space="preserve">Изменение вероятности исхода из-за воздействия</w:t>
            </w:r>
          </w:p>
        </w:tc>
        <w:tc>
          <w:tcPr>
            <w:tcW w:w="3000" w:type="dxa"/>
          </w:tcPr>
          <w:p>
            <w:pPr>
              <w:pStyle w:val="a1"/>
              <w:jc w:val="left"/>
            </w:pPr>
            <w:r>
              <w:rPr>
                <w:rFonts w:ascii="Times New Roman" w:hAnsi="Times New Roman" w:cs="Times New Roman"/>
                <w:sz w:val="24"/>
              </w:rPr>
              <w:t xml:space="preserve">Когда эффект неоднороден и действие имеет стоимость</w:t>
            </w:r>
          </w:p>
        </w:tc>
        <w:tc>
          <w:tcPr>
            <w:tcW w:w="3000" w:type="dxa"/>
          </w:tcPr>
          <w:p>
            <w:pPr>
              <w:pStyle w:val="a1"/>
              <w:jc w:val="left"/>
            </w:pPr>
            <w:r>
              <w:rPr>
                <w:rFonts w:ascii="Times New Roman" w:hAnsi="Times New Roman" w:cs="Times New Roman"/>
                <w:sz w:val="24"/>
              </w:rPr>
              <w:t xml:space="preserve">Требует контроля, перекрытия и аккуратной оценки</w:t>
            </w:r>
          </w:p>
        </w:tc>
      </w:tr>
    </w:tbl>
    <w:p>
      <w:pPr>
        <w:pStyle w:val="21"/>
        <w:jc w:val="left"/>
      </w:pPr>
      <w:r>
        <w:rPr>
          <w:rFonts w:ascii="Times New Roman" w:hAnsi="Times New Roman" w:cs="Times New Roman"/>
          <w:sz w:val="28"/>
          <w:b/>
        </w:rPr>
        <w:t xml:space="preserve">1.3. Барьеры внедрения uplift-подхода в финансовых организациях</w:t>
      </w:r>
    </w:p>
    <w:p>
      <w:pPr>
        <w:pStyle w:val="a1"/>
        <w:jc w:val="both"/>
      </w:pPr>
      <w:r>
        <w:rPr>
          <w:rFonts w:ascii="Times New Roman" w:hAnsi="Times New Roman" w:cs="Times New Roman"/>
          <w:sz w:val="28"/>
        </w:rPr>
        <w:t xml:space="preserve">Главный барьер применения uplift-моделей связан с фундаментальной проблемой причинного вывода: для одного клиента невозможно одновременно наблюдать исход с коммуникацией и без коммуникации. Если клиенту позвонили, мы не знаем, что произошло бы без звонка. Если клиент остался без контакта, мы не знаем, помог бы ему другой канал. Поэтому модель вынуждена оценивать эффект не как фактическую разность двух наблюдений для одного клиента, а как ожидаемую разность для похожих клиентов.</w:t>
      </w:r>
    </w:p>
    <w:p>
      <w:pPr>
        <w:pStyle w:val="a1"/>
        <w:jc w:val="both"/>
      </w:pPr>
      <w:r>
        <w:rPr>
          <w:rFonts w:ascii="Times New Roman" w:hAnsi="Times New Roman" w:cs="Times New Roman"/>
          <w:sz w:val="28"/>
        </w:rPr>
        <w:t xml:space="preserve">Второй барьер - неслучайность исторической политики. Банк обычно контактирует не случайных клиентов, а тех, кто выглядит более рискованным, имеет большую сумму платежа, признаки ранней просрочки или высокий приоритет взыскания. В результате группа воздействия изначально отличается от контрольной группы. Простое сравнение доли дефолта у contacted и control-клиентов будет смещенным: оно отражает не только эффект коммуникации, но и исходные различия между группами.</w:t>
      </w:r>
    </w:p>
    <w:p>
      <w:pPr>
        <w:pStyle w:val="a1"/>
        <w:jc w:val="both"/>
      </w:pPr>
      <w:r>
        <w:rPr>
          <w:rFonts w:ascii="Times New Roman" w:hAnsi="Times New Roman" w:cs="Times New Roman"/>
          <w:sz w:val="28"/>
        </w:rPr>
        <w:t xml:space="preserve">Третий барьер - наличие и качество контрольной группы. С точки зрения бизнеса контроль может восприниматься как отказ от полезного действия. С точки зрения статистики без контроля невозможно понять, что произошло бы без воздействия. В финтехе это особенно чувствительно, потому что речь идет о финансовых обязательствах клиента и потенциальных потерях банка. Поэтому контрольная группа должна быть управляемой, небольшой, этически допустимой и случайной внутри сопоставимых сегментов.</w:t>
      </w:r>
    </w:p>
    <w:p>
      <w:pPr>
        <w:pStyle w:val="a1"/>
        <w:jc w:val="both"/>
      </w:pPr>
      <w:r>
        <w:rPr>
          <w:rFonts w:ascii="Times New Roman" w:hAnsi="Times New Roman" w:cs="Times New Roman"/>
          <w:sz w:val="28"/>
        </w:rPr>
        <w:t xml:space="preserve">Четвертый барьер - редкость и задержка исхода. Дефолт или устойчивая просрочка наблюдаются не мгновенно. Для накопления зрелой обучающей выборки может потребоваться несколько месяцев. При этом доля дефолтов обычно невелика, а эффект одной коммуникации слаб по сравнению с базовым риском клиента. Это повышает дисперсию оценок и делает особенно важными доверительные интервалы, проверку устойчивости и аккуратную интерпретацию метрик.</w:t>
      </w:r>
    </w:p>
    <w:p>
      <w:pPr>
        <w:pStyle w:val="a1"/>
        <w:jc w:val="both"/>
      </w:pPr>
      <w:r>
        <w:rPr>
          <w:rFonts w:ascii="Times New Roman" w:hAnsi="Times New Roman" w:cs="Times New Roman"/>
          <w:sz w:val="28"/>
        </w:rPr>
        <w:t xml:space="preserve">Пятый барьер - многоканальность и дисбаланс каналов. Если высокорисковым клиентам почти всегда звонит оператор, а SMS получают только низкорисковые клиенты, модель плохо отвечает на вопрос о сравнении каналов. Для выбора лучшего канала нужны наблюдения альтернативных действий для похожих клиентов. Это означает необходимость небольшой exploration-доли: controlled exploration не заменяет бизнес-логику, но позволяет накопить данные о том, что происходит при альтернативных каналах.</w:t>
      </w:r>
    </w:p>
    <w:p>
      <w:pPr>
        <w:pStyle w:val="a1"/>
        <w:jc w:val="both"/>
      </w:pPr>
      <w:r>
        <w:rPr>
          <w:rFonts w:ascii="Times New Roman" w:hAnsi="Times New Roman" w:cs="Times New Roman"/>
          <w:sz w:val="28"/>
        </w:rPr>
        <w:t xml:space="preserve">Шестой барьер - стоимость и риск отрицательного воздействия. В отличие от многих маркетинговых задач, финансовая коммуникация может восприниматься клиентом как давление. Лишний звонок способен вызвать раздражение, жалобу или ухудшение клиентского опыта. Поэтому полезность модели должна оцениваться не только по метрикам ранжирования, но и по чистой экономической ценности: предотвращенные дефолты минус стоимость каналов и потенциальные ограничения по емкости.</w:t>
      </w:r>
    </w:p>
    <w:p>
      <w:pPr>
        <w:pStyle w:val="a1"/>
        <w:jc w:val="both"/>
      </w:pPr>
      <w:r>
        <w:rPr>
          <w:rFonts w:ascii="Times New Roman" w:hAnsi="Times New Roman" w:cs="Times New Roman"/>
          <w:sz w:val="28"/>
        </w:rPr>
        <w:t xml:space="preserve">Седьмой барьер - утечка информации. В причинной задаче особенно опасно включить в признаки переменные, которые возникли после воздействия или напрямую содержат информацию о контрфактическом эффекте. Такая утечка искусственно завышает качество модели и делает результаты неприменимыми. Поэтому в эксперименте должны быть явно разделены безопасные признаки, переменные назначения воздействия, наблюдаемые исходы, потенциальные исходы и оракульные поля.</w:t>
      </w:r>
    </w:p>
    <w:p>
      <w:pPr>
        <w:pStyle w:val="a1"/>
        <w:jc w:val="center"/>
      </w:pPr>
      <w:r>
        <w:rPr>
          <w:rFonts w:ascii="Times New Roman" w:hAnsi="Times New Roman" w:cs="Times New Roman"/>
          <w:sz w:val="28"/>
          <w:b/>
        </w:rPr>
        <w:t xml:space="preserve">Таблица 1.3 - Барьеры внедрения uplift-моделей и способы работы с ними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Барьер</w:t>
            </w:r>
          </w:p>
        </w:tc>
        <w:tc>
          <w:tcPr>
            <w:tcW w:w="3000" w:type="dxa"/>
          </w:tcPr>
          <w:p>
            <w:pPr>
              <w:pStyle w:val="a1"/>
              <w:jc w:val="left"/>
            </w:pPr>
            <w:r>
              <w:rPr>
                <w:rFonts w:ascii="Times New Roman" w:hAnsi="Times New Roman" w:cs="Times New Roman"/>
                <w:sz w:val="24"/>
                <w:b/>
              </w:rPr>
              <w:t xml:space="preserve">Как проявляется</w:t>
            </w:r>
          </w:p>
        </w:tc>
        <w:tc>
          <w:tcPr>
            <w:tcW w:w="3000" w:type="dxa"/>
          </w:tcPr>
          <w:p>
            <w:pPr>
              <w:pStyle w:val="a1"/>
              <w:jc w:val="left"/>
            </w:pPr>
            <w:r>
              <w:rPr>
                <w:rFonts w:ascii="Times New Roman" w:hAnsi="Times New Roman" w:cs="Times New Roman"/>
                <w:sz w:val="24"/>
                <w:b/>
              </w:rPr>
              <w:t xml:space="preserve">Что требуется</w:t>
            </w:r>
          </w:p>
        </w:tc>
      </w:tr>
      <w:tr>
        <w:tc>
          <w:tcPr>
            <w:tcW w:w="3000" w:type="dxa"/>
          </w:tcPr>
          <w:p>
            <w:pPr>
              <w:pStyle w:val="a1"/>
              <w:jc w:val="left"/>
            </w:pPr>
            <w:r>
              <w:rPr>
                <w:rFonts w:ascii="Times New Roman" w:hAnsi="Times New Roman" w:cs="Times New Roman"/>
                <w:sz w:val="24"/>
              </w:rPr>
              <w:t xml:space="preserve">Контрфактическая природа эффекта</w:t>
            </w:r>
          </w:p>
        </w:tc>
        <w:tc>
          <w:tcPr>
            <w:tcW w:w="3000" w:type="dxa"/>
          </w:tcPr>
          <w:p>
            <w:pPr>
              <w:pStyle w:val="a1"/>
              <w:jc w:val="left"/>
            </w:pPr>
            <w:r>
              <w:rPr>
                <w:rFonts w:ascii="Times New Roman" w:hAnsi="Times New Roman" w:cs="Times New Roman"/>
                <w:sz w:val="24"/>
              </w:rPr>
              <w:t xml:space="preserve">Нельзя увидеть два исхода одного клиента</w:t>
            </w:r>
          </w:p>
        </w:tc>
        <w:tc>
          <w:tcPr>
            <w:tcW w:w="3000" w:type="dxa"/>
          </w:tcPr>
          <w:p>
            <w:pPr>
              <w:pStyle w:val="a1"/>
              <w:jc w:val="left"/>
            </w:pPr>
            <w:r>
              <w:rPr>
                <w:rFonts w:ascii="Times New Roman" w:hAnsi="Times New Roman" w:cs="Times New Roman"/>
                <w:sz w:val="24"/>
              </w:rPr>
              <w:t xml:space="preserve">Использовать контрольные группы и фреймворк потенциальных исходов</w:t>
            </w:r>
          </w:p>
        </w:tc>
      </w:tr>
      <w:tr>
        <w:tc>
          <w:tcPr>
            <w:tcW w:w="3000" w:type="dxa"/>
          </w:tcPr>
          <w:p>
            <w:pPr>
              <w:pStyle w:val="a1"/>
              <w:jc w:val="left"/>
            </w:pPr>
            <w:r>
              <w:rPr>
                <w:rFonts w:ascii="Times New Roman" w:hAnsi="Times New Roman" w:cs="Times New Roman"/>
                <w:sz w:val="24"/>
              </w:rPr>
              <w:t xml:space="preserve">Selection bias</w:t>
            </w:r>
          </w:p>
        </w:tc>
        <w:tc>
          <w:tcPr>
            <w:tcW w:w="3000" w:type="dxa"/>
          </w:tcPr>
          <w:p>
            <w:pPr>
              <w:pStyle w:val="a1"/>
              <w:jc w:val="left"/>
            </w:pPr>
            <w:r>
              <w:rPr>
                <w:rFonts w:ascii="Times New Roman" w:hAnsi="Times New Roman" w:cs="Times New Roman"/>
                <w:sz w:val="24"/>
              </w:rPr>
              <w:t xml:space="preserve">Контактируют более рискованных клиентов</w:t>
            </w:r>
          </w:p>
        </w:tc>
        <w:tc>
          <w:tcPr>
            <w:tcW w:w="3000" w:type="dxa"/>
          </w:tcPr>
          <w:p>
            <w:pPr>
              <w:pStyle w:val="a1"/>
              <w:jc w:val="left"/>
            </w:pPr>
            <w:r>
              <w:rPr>
                <w:rFonts w:ascii="Times New Roman" w:hAnsi="Times New Roman" w:cs="Times New Roman"/>
                <w:sz w:val="24"/>
              </w:rPr>
              <w:t xml:space="preserve">Проверять propensity score, overlap и SMD</w:t>
            </w:r>
          </w:p>
        </w:tc>
      </w:tr>
      <w:tr>
        <w:tc>
          <w:tcPr>
            <w:tcW w:w="3000" w:type="dxa"/>
          </w:tcPr>
          <w:p>
            <w:pPr>
              <w:pStyle w:val="a1"/>
              <w:jc w:val="left"/>
            </w:pPr>
            <w:r>
              <w:rPr>
                <w:rFonts w:ascii="Times New Roman" w:hAnsi="Times New Roman" w:cs="Times New Roman"/>
                <w:sz w:val="24"/>
              </w:rPr>
              <w:t xml:space="preserve">Редкий и поздний исход</w:t>
            </w:r>
          </w:p>
        </w:tc>
        <w:tc>
          <w:tcPr>
            <w:tcW w:w="3000" w:type="dxa"/>
          </w:tcPr>
          <w:p>
            <w:pPr>
              <w:pStyle w:val="a1"/>
              <w:jc w:val="left"/>
            </w:pPr>
            <w:r>
              <w:rPr>
                <w:rFonts w:ascii="Times New Roman" w:hAnsi="Times New Roman" w:cs="Times New Roman"/>
                <w:sz w:val="24"/>
              </w:rPr>
              <w:t xml:space="preserve">Дефолт наблюдается редко и не сразу</w:t>
            </w:r>
          </w:p>
        </w:tc>
        <w:tc>
          <w:tcPr>
            <w:tcW w:w="3000" w:type="dxa"/>
          </w:tcPr>
          <w:p>
            <w:pPr>
              <w:pStyle w:val="a1"/>
              <w:jc w:val="left"/>
            </w:pPr>
            <w:r>
              <w:rPr>
                <w:rFonts w:ascii="Times New Roman" w:hAnsi="Times New Roman" w:cs="Times New Roman"/>
                <w:sz w:val="24"/>
              </w:rPr>
              <w:t xml:space="preserve">Накопить зрелые данные и считать доверительные интервалы</w:t>
            </w:r>
          </w:p>
        </w:tc>
      </w:tr>
      <w:tr>
        <w:tc>
          <w:tcPr>
            <w:tcW w:w="3000" w:type="dxa"/>
          </w:tcPr>
          <w:p>
            <w:pPr>
              <w:pStyle w:val="a1"/>
              <w:jc w:val="left"/>
            </w:pPr>
            <w:r>
              <w:rPr>
                <w:rFonts w:ascii="Times New Roman" w:hAnsi="Times New Roman" w:cs="Times New Roman"/>
                <w:sz w:val="24"/>
              </w:rPr>
              <w:t xml:space="preserve">Слабый эффект</w:t>
            </w:r>
          </w:p>
        </w:tc>
        <w:tc>
          <w:tcPr>
            <w:tcW w:w="3000" w:type="dxa"/>
          </w:tcPr>
          <w:p>
            <w:pPr>
              <w:pStyle w:val="a1"/>
              <w:jc w:val="left"/>
            </w:pPr>
            <w:r>
              <w:rPr>
                <w:rFonts w:ascii="Times New Roman" w:hAnsi="Times New Roman" w:cs="Times New Roman"/>
                <w:sz w:val="24"/>
              </w:rPr>
              <w:t xml:space="preserve">Эффект коммуникации мал относительно базового риска</w:t>
            </w:r>
          </w:p>
        </w:tc>
        <w:tc>
          <w:tcPr>
            <w:tcW w:w="3000" w:type="dxa"/>
          </w:tcPr>
          <w:p>
            <w:pPr>
              <w:pStyle w:val="a1"/>
              <w:jc w:val="left"/>
            </w:pPr>
            <w:r>
              <w:rPr>
                <w:rFonts w:ascii="Times New Roman" w:hAnsi="Times New Roman" w:cs="Times New Roman"/>
                <w:sz w:val="24"/>
              </w:rPr>
              <w:t xml:space="preserve">Оценивать устойчивость через bootstrap и top-k показатели</w:t>
            </w:r>
          </w:p>
        </w:tc>
      </w:tr>
      <w:tr>
        <w:tc>
          <w:tcPr>
            <w:tcW w:w="3000" w:type="dxa"/>
          </w:tcPr>
          <w:p>
            <w:pPr>
              <w:pStyle w:val="a1"/>
              <w:jc w:val="left"/>
            </w:pPr>
            <w:r>
              <w:rPr>
                <w:rFonts w:ascii="Times New Roman" w:hAnsi="Times New Roman" w:cs="Times New Roman"/>
                <w:sz w:val="24"/>
              </w:rPr>
              <w:t xml:space="preserve">Дисбаланс каналов</w:t>
            </w:r>
          </w:p>
        </w:tc>
        <w:tc>
          <w:tcPr>
            <w:tcW w:w="3000" w:type="dxa"/>
          </w:tcPr>
          <w:p>
            <w:pPr>
              <w:pStyle w:val="a1"/>
              <w:jc w:val="left"/>
            </w:pPr>
            <w:r>
              <w:rPr>
                <w:rFonts w:ascii="Times New Roman" w:hAnsi="Times New Roman" w:cs="Times New Roman"/>
                <w:sz w:val="24"/>
              </w:rPr>
              <w:t xml:space="preserve">Некоторые каналы почти не представлены</w:t>
            </w:r>
          </w:p>
        </w:tc>
        <w:tc>
          <w:tcPr>
            <w:tcW w:w="3000" w:type="dxa"/>
          </w:tcPr>
          <w:p>
            <w:pPr>
              <w:pStyle w:val="a1"/>
              <w:jc w:val="left"/>
            </w:pPr>
            <w:r>
              <w:rPr>
                <w:rFonts w:ascii="Times New Roman" w:hAnsi="Times New Roman" w:cs="Times New Roman"/>
                <w:sz w:val="24"/>
              </w:rPr>
              <w:t xml:space="preserve">Обеспечить минимальный объем наблюдений по каждому каналу</w:t>
            </w:r>
          </w:p>
        </w:tc>
      </w:tr>
      <w:tr>
        <w:tc>
          <w:tcPr>
            <w:tcW w:w="3000" w:type="dxa"/>
          </w:tcPr>
          <w:p>
            <w:pPr>
              <w:pStyle w:val="a1"/>
              <w:jc w:val="left"/>
            </w:pPr>
            <w:r>
              <w:rPr>
                <w:rFonts w:ascii="Times New Roman" w:hAnsi="Times New Roman" w:cs="Times New Roman"/>
                <w:sz w:val="24"/>
              </w:rPr>
              <w:t xml:space="preserve">Разная стоимость действий</w:t>
            </w:r>
          </w:p>
        </w:tc>
        <w:tc>
          <w:tcPr>
            <w:tcW w:w="3000" w:type="dxa"/>
          </w:tcPr>
          <w:p>
            <w:pPr>
              <w:pStyle w:val="a1"/>
              <w:jc w:val="left"/>
            </w:pPr>
            <w:r>
              <w:rPr>
                <w:rFonts w:ascii="Times New Roman" w:hAnsi="Times New Roman" w:cs="Times New Roman"/>
                <w:sz w:val="24"/>
              </w:rPr>
              <w:t xml:space="preserve">Лучший эффект не всегда экономически выгоден</w:t>
            </w:r>
          </w:p>
        </w:tc>
        <w:tc>
          <w:tcPr>
            <w:tcW w:w="3000" w:type="dxa"/>
          </w:tcPr>
          <w:p>
            <w:pPr>
              <w:pStyle w:val="a1"/>
              <w:jc w:val="left"/>
            </w:pPr>
            <w:r>
              <w:rPr>
                <w:rFonts w:ascii="Times New Roman" w:hAnsi="Times New Roman" w:cs="Times New Roman"/>
                <w:sz w:val="24"/>
              </w:rPr>
              <w:t xml:space="preserve">Оптимизировать чистую ценность политики</w:t>
            </w:r>
          </w:p>
        </w:tc>
      </w:tr>
      <w:tr>
        <w:tc>
          <w:tcPr>
            <w:tcW w:w="3000" w:type="dxa"/>
          </w:tcPr>
          <w:p>
            <w:pPr>
              <w:pStyle w:val="a1"/>
              <w:jc w:val="left"/>
            </w:pPr>
            <w:r>
              <w:rPr>
                <w:rFonts w:ascii="Times New Roman" w:hAnsi="Times New Roman" w:cs="Times New Roman"/>
                <w:sz w:val="24"/>
              </w:rPr>
              <w:t xml:space="preserve">Утечка информации</w:t>
            </w:r>
          </w:p>
        </w:tc>
        <w:tc>
          <w:tcPr>
            <w:tcW w:w="3000" w:type="dxa"/>
          </w:tcPr>
          <w:p>
            <w:pPr>
              <w:pStyle w:val="a1"/>
              <w:jc w:val="left"/>
            </w:pPr>
            <w:r>
              <w:rPr>
                <w:rFonts w:ascii="Times New Roman" w:hAnsi="Times New Roman" w:cs="Times New Roman"/>
                <w:sz w:val="24"/>
              </w:rPr>
              <w:t xml:space="preserve">Модель видит post-treatment или oracle-поля</w:t>
            </w:r>
          </w:p>
        </w:tc>
        <w:tc>
          <w:tcPr>
            <w:tcW w:w="3000" w:type="dxa"/>
          </w:tcPr>
          <w:p>
            <w:pPr>
              <w:pStyle w:val="a1"/>
              <w:jc w:val="left"/>
            </w:pPr>
            <w:r>
              <w:rPr>
                <w:rFonts w:ascii="Times New Roman" w:hAnsi="Times New Roman" w:cs="Times New Roman"/>
                <w:sz w:val="24"/>
              </w:rPr>
              <w:t xml:space="preserve">Вести список запрещенных признаков</w:t>
            </w:r>
          </w:p>
        </w:tc>
      </w:tr>
    </w:tbl>
    <w:p>
      <w:pPr>
        <w:pStyle w:val="21"/>
        <w:jc w:val="left"/>
      </w:pPr>
      <w:r>
        <w:rPr>
          <w:rFonts w:ascii="Times New Roman" w:hAnsi="Times New Roman" w:cs="Times New Roman"/>
          <w:sz w:val="28"/>
          <w:b/>
        </w:rPr>
        <w:t xml:space="preserve">1.4. Постановка исследовательской и программной задачи</w:t>
      </w:r>
    </w:p>
    <w:p>
      <w:pPr>
        <w:pStyle w:val="a1"/>
        <w:jc w:val="both"/>
      </w:pPr>
      <w:r>
        <w:rPr>
          <w:rFonts w:ascii="Times New Roman" w:hAnsi="Times New Roman" w:cs="Times New Roman"/>
          <w:sz w:val="28"/>
        </w:rPr>
        <w:t xml:space="preserve">С учетом перечисленных барьеров работа ставит не только задачу обучения моделей, но и задачу построения воспроизводимого методологического контура. Этот контур должен позволять показать, какие условия нужны для применения uplift-подхода, как диагностировать пригодность данных, когда риск-скоринг может быть сильной базовой стратегией и какой бизнес-эффект дает переход от прогноза риска к оценке эффекта воздействия.</w:t>
      </w:r>
    </w:p>
    <w:p>
      <w:pPr>
        <w:pStyle w:val="a1"/>
        <w:jc w:val="both"/>
      </w:pPr>
      <w:r>
        <w:rPr>
          <w:rFonts w:ascii="Times New Roman" w:hAnsi="Times New Roman" w:cs="Times New Roman"/>
          <w:sz w:val="28"/>
        </w:rPr>
        <w:t xml:space="preserve">В качестве основы используется открытый набор данных Home Credit Default Risk, содержащий реальные финансовые признаки заемщиков и бинарный признак дефолта. Набор не содержит истории банковских коммуникаций, поэтому поверх него формируется синтетический причинный слой. Такой слой включает базовую вероятность дефолта без коммуникации, склонность банка к контакту, назначенный канал, историю контактов, предпочтение канала, индивидуальный эффект воздействия, потенциальные исходы и итоговый наблюдаемый исход после коммуникации.</w:t>
      </w:r>
    </w:p>
    <w:p>
      <w:pPr>
        <w:pStyle w:val="a1"/>
        <w:jc w:val="both"/>
      </w:pPr>
      <w:r>
        <w:rPr>
          <w:rFonts w:ascii="Times New Roman" w:hAnsi="Times New Roman" w:cs="Times New Roman"/>
          <w:sz w:val="28"/>
        </w:rPr>
        <w:t xml:space="preserve">Синтетический слой не подменяет реальные банковские данные. Его роль другая: он создает управляемый стенд, где известен истинный эффект воздействия. Это позволяет проверить модели в условиях, которые в реальном банке обычно частично скрыты. В частности, можно сравнить предсказанные эффекты с истинными, разделить два типа оракула, проверить влияние смещения назначения и провести сценарный эксперимент по связи риска и эффекта.</w:t>
      </w:r>
    </w:p>
    <w:p>
      <w:pPr>
        <w:pStyle w:val="a1"/>
        <w:jc w:val="both"/>
      </w:pPr>
      <w:r>
        <w:rPr>
          <w:rFonts w:ascii="Times New Roman" w:hAnsi="Times New Roman" w:cs="Times New Roman"/>
          <w:sz w:val="28"/>
        </w:rPr>
        <w:t xml:space="preserve">Программная задача включает подготовку исходных таблиц, генерацию причинного слоя, проверку реалистичности сформированных переменных, разделение признаков по роли, обучение риск-моделей и uplift-моделей, расчет метрик, бутстреп-оценку устойчивости, бизнес-оценку политик коммуникации и формирование практических выводов. Все случайные процедуры должны быть воспроизводимыми, а каждый ноутбук должен запускаться сверху вниз без зависимости от состояния интерактивной сессии.</w:t>
      </w:r>
    </w:p>
    <w:p>
      <w:pPr>
        <w:pStyle w:val="a1"/>
        <w:jc w:val="both"/>
      </w:pPr>
      <w:r>
        <w:rPr>
          <w:rFonts w:ascii="Times New Roman" w:hAnsi="Times New Roman" w:cs="Times New Roman"/>
          <w:sz w:val="28"/>
        </w:rPr>
        <w:t xml:space="preserve">Выводы по первой главе. Во-первых, многие финтех-задачи являются задачами выбора воздействия, а не только прогнозирования события. Во-вторых, риск-скоринг остается важной базовой стратегией, но не измеряет индивидуальный эффект действия. В-третьих, применение uplift-подхода в финтехе требует специальных условий: контроля, перекрытия, объема данных, защиты от утечки, оценки статистической устойчивости и учета бизнес-стоимости воздействия.</w:t>
      </w:r>
    </w:p>
    <w:p>
      <w:pPr>
        <w:pStyle w:val="1"/>
        <w:jc w:val="center"/>
      </w:pPr>
      <w:r>
        <w:rPr>
          <w:rFonts w:ascii="Times New Roman" w:hAnsi="Times New Roman" w:cs="Times New Roman"/>
          <w:sz w:val="28"/>
          <w:b/>
        </w:rPr>
        <w:t xml:space="preserve">ГЛАВА 2. МЕТОДИКА ОЦЕНКИ ИНДИВИДУАЛЬНОГО ЭФФЕКТА В ФИНТЕХ-ЗАДАЧАХ</w:t>
      </w:r>
    </w:p>
    <w:p>
      <w:pPr>
        <w:pStyle w:val="21"/>
        <w:jc w:val="left"/>
      </w:pPr>
      <w:r>
        <w:rPr>
          <w:rFonts w:ascii="Times New Roman" w:hAnsi="Times New Roman" w:cs="Times New Roman"/>
          <w:sz w:val="28"/>
          <w:b/>
        </w:rPr>
        <w:t xml:space="preserve">2.1. Потенциальные исходы и индивидуальный эффект воздействия</w:t>
      </w:r>
    </w:p>
    <w:p>
      <w:pPr>
        <w:pStyle w:val="a1"/>
        <w:jc w:val="both"/>
      </w:pPr>
      <w:r>
        <w:rPr>
          <w:rFonts w:ascii="Times New Roman" w:hAnsi="Times New Roman" w:cs="Times New Roman"/>
          <w:sz w:val="28"/>
        </w:rPr>
        <w:t xml:space="preserve">Методика работы основана на фреймворке потенциальных исходов. Для каждого клиента можно мысленно представить несколько возможных ситуаций: клиент не получил коммуникацию, получил SMS, получил автоматический звонок или получил звонок оператора. В реальности наблюдается только один исход, соответствующий фактически выбранному действию. Остальные исходы являются контрфактическими.</w:t>
      </w:r>
    </w:p>
    <w:p>
      <w:pPr>
        <w:pStyle w:val="a1"/>
        <w:jc w:val="both"/>
      </w:pPr>
      <w:r>
        <w:rPr>
          <w:rFonts w:ascii="Times New Roman" w:hAnsi="Times New Roman" w:cs="Times New Roman"/>
          <w:sz w:val="28"/>
        </w:rPr>
        <w:t xml:space="preserve">Пусть Y(0) обозначает исход без воздействия, а Y(t) - исход при воздействии t. В задаче кредитного риска исходом является дефолт или отсутствие дефолта после коммуникации. Индивидуальный эффект канала t можно записать как разность ожидаемых исходов при воздействии и без воздействия: tau_t(x) = E[Y(t) - Y(0) | X = x], где X - признаки клиента. Если эффект отрицателен, коммуникация снижает вероятность дефолта; если эффект положителен, воздействие может быть вредным.</w:t>
      </w:r>
    </w:p>
    <w:p>
      <w:pPr>
        <w:pStyle w:val="a1"/>
        <w:jc w:val="both"/>
      </w:pPr>
      <w:r>
        <w:rPr>
          <w:rFonts w:ascii="Times New Roman" w:hAnsi="Times New Roman" w:cs="Times New Roman"/>
          <w:sz w:val="28"/>
        </w:rPr>
        <w:t xml:space="preserve">В многоканальной задаче банк выбирает не только факт коммуникации, но и канал. Поэтому для одного клиента существуют эффекты SMS, автоматического звонка и звонка оператора. Один канал может быть дешевым, но слабым; другой - дорогим, но более результативным. Оптимальная политика должна учитывать как ожидаемое изменение вероятности дефолта, так и стоимость канала.</w:t>
      </w:r>
    </w:p>
    <w:p>
      <w:pPr>
        <w:pStyle w:val="a1"/>
        <w:jc w:val="both"/>
      </w:pPr>
      <w:r>
        <w:rPr>
          <w:rFonts w:ascii="Times New Roman" w:hAnsi="Times New Roman" w:cs="Times New Roman"/>
          <w:sz w:val="28"/>
        </w:rPr>
        <w:t xml:space="preserve">Для корректной интерпретации причинного эффекта нужны несколько предположений. Во-первых, воздействие на одного клиента не должно менять исход другого клиента. Во-вторых, все существенные факторы, влияющие и на назначение коммуникации, и на исход, должны быть наблюдаемы или контролируемы. В-третьих, для похожих клиентов должны существовать разные варианты воздействия, иначе модель будет вынуждена экстраполировать за пределы данных.</w:t>
      </w:r>
    </w:p>
    <w:p>
      <w:pPr>
        <w:pStyle w:val="a1"/>
        <w:jc w:val="both"/>
      </w:pPr>
      <w:r>
        <w:rPr>
          <w:rFonts w:ascii="Times New Roman" w:hAnsi="Times New Roman" w:cs="Times New Roman"/>
          <w:sz w:val="28"/>
        </w:rPr>
        <w:t xml:space="preserve">В синтетической части работы эти предпосылки контролируются явно. Для каждого клиента сохраняются потенциальные вероятности дефолта при каждом канале и истинные эффекты каналов. В реальном банке такие поля недоступны, но в экспериментальном стенде они позволяют проверить, насколько хорошо модель восстанавливает правильный порядок клиентов по ожидаемой пользе коммуникации.</w:t>
      </w:r>
    </w:p>
    <w:p>
      <w:pPr>
        <w:pStyle w:val="21"/>
        <w:jc w:val="left"/>
      </w:pPr>
      <w:r>
        <w:rPr>
          <w:rFonts w:ascii="Times New Roman" w:hAnsi="Times New Roman" w:cs="Times New Roman"/>
          <w:sz w:val="28"/>
          <w:b/>
        </w:rPr>
        <w:t xml:space="preserve">2.2. Требования к данным: контроль, перекрытие, смещение и защита от утечки</w:t>
      </w:r>
    </w:p>
    <w:p>
      <w:pPr>
        <w:pStyle w:val="a1"/>
        <w:jc w:val="both"/>
      </w:pPr>
      <w:r>
        <w:rPr>
          <w:rFonts w:ascii="Times New Roman" w:hAnsi="Times New Roman" w:cs="Times New Roman"/>
          <w:sz w:val="28"/>
        </w:rPr>
        <w:t xml:space="preserve">Первое требование к данным - наличие контрольной группы. Контрольная группа показывает, что происходит с похожими клиентами без воздействия. Если все рискованные клиенты получают коммуникацию, а без контакта остаются только надежные клиенты, то сравнение групп не позволяет отделить эффект звонка от исходного уровня риска. Поэтому контроль должен формироваться случайно хотя бы внутри сегментов, где воздействие допустимо с точки зрения бизнеса.</w:t>
      </w:r>
    </w:p>
    <w:p>
      <w:pPr>
        <w:pStyle w:val="a1"/>
        <w:jc w:val="both"/>
      </w:pPr>
      <w:r>
        <w:rPr>
          <w:rFonts w:ascii="Times New Roman" w:hAnsi="Times New Roman" w:cs="Times New Roman"/>
          <w:sz w:val="28"/>
        </w:rPr>
        <w:t xml:space="preserve">Второе требование - перекрытие групп, или overlap. Оно означает, что в одном и том же диапазоне propensity score должны быть и клиенты с воздействием, и клиенты без воздействия. Propensity score - это вероятность назначения коммуникации при наблюдаемых признаках. Если клиенты с высокой вероятностью контакта почти всегда контактируются, то модель плохо отвечает на вопрос, что произошло бы с похожими клиентами без контакта.</w:t>
      </w:r>
    </w:p>
    <w:p>
      <w:pPr>
        <w:pStyle w:val="a1"/>
        <w:jc w:val="both"/>
      </w:pPr>
      <w:r>
        <w:rPr>
          <w:rFonts w:ascii="Times New Roman" w:hAnsi="Times New Roman" w:cs="Times New Roman"/>
          <w:sz w:val="28"/>
        </w:rPr>
        <w:t xml:space="preserve">Третье требование - диагностика исходных различий между группами. Для этого используется стандартизированная разница средних, или SMD. Она показывает, насколько сильно treatment и control-группы отличаются по конкретному признаку. Значения ниже 0,1 обычно трактуются как хорошая сопоставимость, значения выше 0,2 указывают на сильное различие. В работе SMD используется не как формальное украшение, а как проверка того, насколько честным может быть сравнение.</w:t>
      </w:r>
    </w:p>
    <w:p>
      <w:pPr>
        <w:pStyle w:val="a1"/>
        <w:jc w:val="both"/>
      </w:pPr>
      <w:r>
        <w:rPr>
          <w:rFonts w:ascii="Times New Roman" w:hAnsi="Times New Roman" w:cs="Times New Roman"/>
          <w:sz w:val="28"/>
        </w:rPr>
        <w:t xml:space="preserve">Четвертое требование - достаточный объем данных по каждому каналу. S-Learner использует общую модель с признаком воздействия и может быть устойчивее при малых группах, но способен игнорировать слабый treatment effect. T-Learner обучает отдельные модели для каналов и лучше улавливает специфические закономерности, но требует достаточного числа наблюдений в каждой группе. В многоканальном финтехе этот вопрос становится практическим: нельзя надежно выбрать канал, по которому накоплено слишком мало зрелых наблюдений.</w:t>
      </w:r>
    </w:p>
    <w:p>
      <w:pPr>
        <w:pStyle w:val="a1"/>
        <w:jc w:val="both"/>
      </w:pPr>
      <w:r>
        <w:rPr>
          <w:rFonts w:ascii="Times New Roman" w:hAnsi="Times New Roman" w:cs="Times New Roman"/>
          <w:sz w:val="28"/>
        </w:rPr>
        <w:t xml:space="preserve">Пятое требование - защита от утечки. В признаки модели нельзя включать переменные, которые сформировались после коммуникации, итоговый исход, истинный uplift, потенциальные исходы и оракульные поля. В эксперименте эти переменные сохраняются только для оценки качества, но исключаются из обучающих признаков. Такое разделение является обязательным условием воспроизводимости и честности сравнения.</w:t>
      </w:r>
    </w:p>
    <w:p>
      <w:pPr>
        <w:pStyle w:val="a1"/>
        <w:jc w:val="center"/>
      </w:pPr>
      <w:r>
        <w:rPr>
          <w:rFonts w:ascii="Times New Roman" w:hAnsi="Times New Roman" w:cs="Times New Roman"/>
          <w:sz w:val="28"/>
          <w:b/>
        </w:rPr>
        <w:t xml:space="preserve">Таблица 2.1 - Диагностические проверки пригодности данных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Проверка</w:t>
            </w:r>
          </w:p>
        </w:tc>
        <w:tc>
          <w:tcPr>
            <w:tcW w:w="3000" w:type="dxa"/>
          </w:tcPr>
          <w:p>
            <w:pPr>
              <w:pStyle w:val="a1"/>
              <w:jc w:val="left"/>
            </w:pPr>
            <w:r>
              <w:rPr>
                <w:rFonts w:ascii="Times New Roman" w:hAnsi="Times New Roman" w:cs="Times New Roman"/>
                <w:sz w:val="24"/>
                <w:b/>
              </w:rPr>
              <w:t xml:space="preserve">Смысл</w:t>
            </w:r>
          </w:p>
        </w:tc>
        <w:tc>
          <w:tcPr>
            <w:tcW w:w="3000" w:type="dxa"/>
          </w:tcPr>
          <w:p>
            <w:pPr>
              <w:pStyle w:val="a1"/>
              <w:jc w:val="left"/>
            </w:pPr>
            <w:r>
              <w:rPr>
                <w:rFonts w:ascii="Times New Roman" w:hAnsi="Times New Roman" w:cs="Times New Roman"/>
                <w:sz w:val="24"/>
                <w:b/>
              </w:rPr>
              <w:t xml:space="preserve">Практическая интерпретация</w:t>
            </w:r>
          </w:p>
        </w:tc>
      </w:tr>
      <w:tr>
        <w:tc>
          <w:tcPr>
            <w:tcW w:w="3000" w:type="dxa"/>
          </w:tcPr>
          <w:p>
            <w:pPr>
              <w:pStyle w:val="a1"/>
              <w:jc w:val="left"/>
            </w:pPr>
            <w:r>
              <w:rPr>
                <w:rFonts w:ascii="Times New Roman" w:hAnsi="Times New Roman" w:cs="Times New Roman"/>
                <w:sz w:val="24"/>
              </w:rPr>
              <w:t xml:space="preserve">Контрольная группа</w:t>
            </w:r>
          </w:p>
        </w:tc>
        <w:tc>
          <w:tcPr>
            <w:tcW w:w="3000" w:type="dxa"/>
          </w:tcPr>
          <w:p>
            <w:pPr>
              <w:pStyle w:val="a1"/>
              <w:jc w:val="left"/>
            </w:pPr>
            <w:r>
              <w:rPr>
                <w:rFonts w:ascii="Times New Roman" w:hAnsi="Times New Roman" w:cs="Times New Roman"/>
                <w:sz w:val="24"/>
              </w:rPr>
              <w:t xml:space="preserve">Есть клиенты без воздействия</w:t>
            </w:r>
          </w:p>
        </w:tc>
        <w:tc>
          <w:tcPr>
            <w:tcW w:w="3000" w:type="dxa"/>
          </w:tcPr>
          <w:p>
            <w:pPr>
              <w:pStyle w:val="a1"/>
              <w:jc w:val="left"/>
            </w:pPr>
            <w:r>
              <w:rPr>
                <w:rFonts w:ascii="Times New Roman" w:hAnsi="Times New Roman" w:cs="Times New Roman"/>
                <w:sz w:val="24"/>
              </w:rPr>
              <w:t xml:space="preserve">Без нее нельзя оценить исход без коммуникации</w:t>
            </w:r>
          </w:p>
        </w:tc>
      </w:tr>
      <w:tr>
        <w:tc>
          <w:tcPr>
            <w:tcW w:w="3000" w:type="dxa"/>
          </w:tcPr>
          <w:p>
            <w:pPr>
              <w:pStyle w:val="a1"/>
              <w:jc w:val="left"/>
            </w:pPr>
            <w:r>
              <w:rPr>
                <w:rFonts w:ascii="Times New Roman" w:hAnsi="Times New Roman" w:cs="Times New Roman"/>
                <w:sz w:val="24"/>
              </w:rPr>
              <w:t xml:space="preserve">Propensity overlap</w:t>
            </w:r>
          </w:p>
        </w:tc>
        <w:tc>
          <w:tcPr>
            <w:tcW w:w="3000" w:type="dxa"/>
          </w:tcPr>
          <w:p>
            <w:pPr>
              <w:pStyle w:val="a1"/>
              <w:jc w:val="left"/>
            </w:pPr>
            <w:r>
              <w:rPr>
                <w:rFonts w:ascii="Times New Roman" w:hAnsi="Times New Roman" w:cs="Times New Roman"/>
                <w:sz w:val="24"/>
              </w:rPr>
              <w:t xml:space="preserve">Группы пересекаются по вероятности контакта</w:t>
            </w:r>
          </w:p>
        </w:tc>
        <w:tc>
          <w:tcPr>
            <w:tcW w:w="3000" w:type="dxa"/>
          </w:tcPr>
          <w:p>
            <w:pPr>
              <w:pStyle w:val="a1"/>
              <w:jc w:val="left"/>
            </w:pPr>
            <w:r>
              <w:rPr>
                <w:rFonts w:ascii="Times New Roman" w:hAnsi="Times New Roman" w:cs="Times New Roman"/>
                <w:sz w:val="24"/>
              </w:rPr>
              <w:t xml:space="preserve">При плохом overlap выводы строятся на экстраполяции</w:t>
            </w:r>
          </w:p>
        </w:tc>
      </w:tr>
      <w:tr>
        <w:tc>
          <w:tcPr>
            <w:tcW w:w="3000" w:type="dxa"/>
          </w:tcPr>
          <w:p>
            <w:pPr>
              <w:pStyle w:val="a1"/>
              <w:jc w:val="left"/>
            </w:pPr>
            <w:r>
              <w:rPr>
                <w:rFonts w:ascii="Times New Roman" w:hAnsi="Times New Roman" w:cs="Times New Roman"/>
                <w:sz w:val="24"/>
              </w:rPr>
              <w:t xml:space="preserve">SMD</w:t>
            </w:r>
          </w:p>
        </w:tc>
        <w:tc>
          <w:tcPr>
            <w:tcW w:w="3000" w:type="dxa"/>
          </w:tcPr>
          <w:p>
            <w:pPr>
              <w:pStyle w:val="a1"/>
              <w:jc w:val="left"/>
            </w:pPr>
            <w:r>
              <w:rPr>
                <w:rFonts w:ascii="Times New Roman" w:hAnsi="Times New Roman" w:cs="Times New Roman"/>
                <w:sz w:val="24"/>
              </w:rPr>
              <w:t xml:space="preserve">Измеряет различия treatment и control</w:t>
            </w:r>
          </w:p>
        </w:tc>
        <w:tc>
          <w:tcPr>
            <w:tcW w:w="3000" w:type="dxa"/>
          </w:tcPr>
          <w:p>
            <w:pPr>
              <w:pStyle w:val="a1"/>
              <w:jc w:val="left"/>
            </w:pPr>
            <w:r>
              <w:rPr>
                <w:rFonts w:ascii="Times New Roman" w:hAnsi="Times New Roman" w:cs="Times New Roman"/>
                <w:sz w:val="24"/>
              </w:rPr>
              <w:t xml:space="preserve">Высокий SMD указывает на selection bias</w:t>
            </w:r>
          </w:p>
        </w:tc>
      </w:tr>
      <w:tr>
        <w:tc>
          <w:tcPr>
            <w:tcW w:w="3000" w:type="dxa"/>
          </w:tcPr>
          <w:p>
            <w:pPr>
              <w:pStyle w:val="a1"/>
              <w:jc w:val="left"/>
            </w:pPr>
            <w:r>
              <w:rPr>
                <w:rFonts w:ascii="Times New Roman" w:hAnsi="Times New Roman" w:cs="Times New Roman"/>
                <w:sz w:val="24"/>
              </w:rPr>
              <w:t xml:space="preserve">Объем по каналам</w:t>
            </w:r>
          </w:p>
        </w:tc>
        <w:tc>
          <w:tcPr>
            <w:tcW w:w="3000" w:type="dxa"/>
          </w:tcPr>
          <w:p>
            <w:pPr>
              <w:pStyle w:val="a1"/>
              <w:jc w:val="left"/>
            </w:pPr>
            <w:r>
              <w:rPr>
                <w:rFonts w:ascii="Times New Roman" w:hAnsi="Times New Roman" w:cs="Times New Roman"/>
                <w:sz w:val="24"/>
              </w:rPr>
              <w:t xml:space="preserve">Достаточно наблюдений для каждого действия</w:t>
            </w:r>
          </w:p>
        </w:tc>
        <w:tc>
          <w:tcPr>
            <w:tcW w:w="3000" w:type="dxa"/>
          </w:tcPr>
          <w:p>
            <w:pPr>
              <w:pStyle w:val="a1"/>
              <w:jc w:val="left"/>
            </w:pPr>
            <w:r>
              <w:rPr>
                <w:rFonts w:ascii="Times New Roman" w:hAnsi="Times New Roman" w:cs="Times New Roman"/>
                <w:sz w:val="24"/>
              </w:rPr>
              <w:t xml:space="preserve">Малые каналы делают multi-treatment модель нестабильной</w:t>
            </w:r>
          </w:p>
        </w:tc>
      </w:tr>
      <w:tr>
        <w:tc>
          <w:tcPr>
            <w:tcW w:w="3000" w:type="dxa"/>
          </w:tcPr>
          <w:p>
            <w:pPr>
              <w:pStyle w:val="a1"/>
              <w:jc w:val="left"/>
            </w:pPr>
            <w:r>
              <w:rPr>
                <w:rFonts w:ascii="Times New Roman" w:hAnsi="Times New Roman" w:cs="Times New Roman"/>
                <w:sz w:val="24"/>
              </w:rPr>
              <w:t xml:space="preserve">Leakage audit</w:t>
            </w:r>
          </w:p>
        </w:tc>
        <w:tc>
          <w:tcPr>
            <w:tcW w:w="3000" w:type="dxa"/>
          </w:tcPr>
          <w:p>
            <w:pPr>
              <w:pStyle w:val="a1"/>
              <w:jc w:val="left"/>
            </w:pPr>
            <w:r>
              <w:rPr>
                <w:rFonts w:ascii="Times New Roman" w:hAnsi="Times New Roman" w:cs="Times New Roman"/>
                <w:sz w:val="24"/>
              </w:rPr>
              <w:t xml:space="preserve">Исключает post-treatment и oracle-поля</w:t>
            </w:r>
          </w:p>
        </w:tc>
        <w:tc>
          <w:tcPr>
            <w:tcW w:w="3000" w:type="dxa"/>
          </w:tcPr>
          <w:p>
            <w:pPr>
              <w:pStyle w:val="a1"/>
              <w:jc w:val="left"/>
            </w:pPr>
            <w:r>
              <w:rPr>
                <w:rFonts w:ascii="Times New Roman" w:hAnsi="Times New Roman" w:cs="Times New Roman"/>
                <w:sz w:val="24"/>
              </w:rPr>
              <w:t xml:space="preserve">Предотвращает завышение качества</w:t>
            </w:r>
          </w:p>
        </w:tc>
      </w:tr>
    </w:tbl>
    <w:p>
      <w:pPr>
        <w:pStyle w:val="21"/>
        <w:jc w:val="left"/>
      </w:pPr>
      <w:r>
        <w:rPr>
          <w:rFonts w:ascii="Times New Roman" w:hAnsi="Times New Roman" w:cs="Times New Roman"/>
          <w:sz w:val="28"/>
          <w:b/>
        </w:rPr>
        <w:t xml:space="preserve">2.3. Модели, оракулы и метрики сравнения</w:t>
      </w:r>
    </w:p>
    <w:p>
      <w:pPr>
        <w:pStyle w:val="a1"/>
        <w:jc w:val="both"/>
      </w:pPr>
      <w:r>
        <w:rPr>
          <w:rFonts w:ascii="Times New Roman" w:hAnsi="Times New Roman" w:cs="Times New Roman"/>
          <w:sz w:val="28"/>
        </w:rPr>
        <w:t xml:space="preserve">В работе сравниваются два класса подходов. Первый класс - риск-ориентированные модели, которые предсказывают вероятность дефолта. К нему относятся логистическая регрессия с WoE-кодированием и градиентный бустинг CatBoost. Эти модели являются сильными и практически понятными базовыми стратегиями: если банк выбирает клиентов по риску, он будет использовать похожую логику.</w:t>
      </w:r>
    </w:p>
    <w:p>
      <w:pPr>
        <w:pStyle w:val="a1"/>
        <w:jc w:val="both"/>
      </w:pPr>
      <w:r>
        <w:rPr>
          <w:rFonts w:ascii="Times New Roman" w:hAnsi="Times New Roman" w:cs="Times New Roman"/>
          <w:sz w:val="28"/>
        </w:rPr>
        <w:t xml:space="preserve">Второй класс - модели индивидуального эффекта. S-Learner обучает одну модель исхода и передает тип воздействия как признак. Его преимущество состоит в использовании всех данных одновременно, а недостаток - риск того, что модель почти проигнорирует слабый эффект воздействия. T-Learner обучает отдельные модели для разных каналов и контроля, что делает его гибким, но чувствительным к дисбалансу групп. X-Learner использует псевдоэффекты и может быть полезен при несбалансированных группах. DR-Learner сочетает модель исхода и модель вероятности воздействия, но на конечных выборках может быть чувствителен к шуму и плохому перекрытию.</w:t>
      </w:r>
    </w:p>
    <w:p>
      <w:pPr>
        <w:pStyle w:val="a1"/>
        <w:jc w:val="both"/>
      </w:pPr>
      <w:r>
        <w:rPr>
          <w:rFonts w:ascii="Times New Roman" w:hAnsi="Times New Roman" w:cs="Times New Roman"/>
          <w:sz w:val="28"/>
        </w:rPr>
        <w:t xml:space="preserve">Для интерпретации результатов особенно важно разделять два уровня оракула. Logged-policy oracle использует истинный эффект фактически назначенного канала. Он отвечает на вопрос, насколько хорошо можно ранжировать клиентов, если не менять историческую политику назначения каналов, а только идеально выбирать клиентов внутри нее. Counterfactual channel oracle знает лучший канал для каждого клиента и показывает более сильную верхнюю границу: что было бы, если бы банк мог персонально выбирать канал.</w:t>
      </w:r>
    </w:p>
    <w:p>
      <w:pPr>
        <w:pStyle w:val="a1"/>
        <w:jc w:val="both"/>
      </w:pPr>
      <w:r>
        <w:rPr>
          <w:rFonts w:ascii="Times New Roman" w:hAnsi="Times New Roman" w:cs="Times New Roman"/>
          <w:sz w:val="28"/>
        </w:rPr>
        <w:t xml:space="preserve">Смешение этих двух оракулов приводит к ошибочной интерпретации. Если клиент в исторической политике остался без контакта, его фактический эффект равен нулю. Но это не означает, что коммуникация ему не помогла бы. Counterfactual oracle может показать, что для такого клиента полезен конкретный канал. Поэтому logged-policy оценка характеризует качество ранжирования внутри наблюдаемой политики, а counterfactual оценка - нереализованный потенциал изменения самой политики.</w:t>
      </w:r>
    </w:p>
    <w:p>
      <w:pPr>
        <w:pStyle w:val="a1"/>
        <w:jc w:val="both"/>
      </w:pPr>
      <w:r>
        <w:rPr>
          <w:rFonts w:ascii="Times New Roman" w:hAnsi="Times New Roman" w:cs="Times New Roman"/>
          <w:sz w:val="28"/>
        </w:rPr>
        <w:t xml:space="preserve">Для риск-моделей используется нормализованный коэффициент Джини, равный 2 * AUC - 1. Он показывает качество разделения дефолтных и недефолтных клиентов. Для uplift-моделей используются Qini-кривая и AUUC. В данной работе AUUC трактуется как качество ранжирования клиентов по ожидаемой пользе коммуникации: чем выше модель ставит клиентов с большим снижением вероятности дефолта, тем выше площадь под кривой прироста.</w:t>
      </w:r>
    </w:p>
    <w:p>
      <w:pPr>
        <w:pStyle w:val="a1"/>
        <w:jc w:val="both"/>
      </w:pPr>
      <w:r>
        <w:rPr>
          <w:rFonts w:ascii="Times New Roman" w:hAnsi="Times New Roman" w:cs="Times New Roman"/>
          <w:sz w:val="28"/>
        </w:rPr>
        <w:t xml:space="preserve">Поскольку одно точечное значение метрики может быть случайным, применяется bootstrap. Из тестовой выборки многократно формируются выборки с возвращением, и на каждой пересчитывается AUUC. Для сравнения двух моделей используется paired bootstrap: обе модели оцениваются на одной и той же повторной выборке, после чего анализируется распределение разницы. Такой подход позволяет говорить не только о том, что одна модель имеет большее значение метрики, но и о статистической устойчивости различия.</w:t>
      </w:r>
    </w:p>
    <w:p>
      <w:pPr>
        <w:pStyle w:val="21"/>
        <w:jc w:val="left"/>
      </w:pPr>
      <w:r>
        <w:rPr>
          <w:rFonts w:ascii="Times New Roman" w:hAnsi="Times New Roman" w:cs="Times New Roman"/>
          <w:sz w:val="28"/>
          <w:b/>
        </w:rPr>
        <w:t xml:space="preserve">2.4. Экономическая оценка и сценарии связи риска с эффектом воздействия</w:t>
      </w:r>
    </w:p>
    <w:p>
      <w:pPr>
        <w:pStyle w:val="a1"/>
        <w:jc w:val="both"/>
      </w:pPr>
      <w:r>
        <w:rPr>
          <w:rFonts w:ascii="Times New Roman" w:hAnsi="Times New Roman" w:cs="Times New Roman"/>
          <w:sz w:val="28"/>
        </w:rPr>
        <w:t xml:space="preserve">Для практического применения недостаточно показать, что модель имеет высокий AUUC. Банк принимает решение в условиях затрат и ограничений. Поэтому эффект модели переводится в бизнес-показатели: суммарное ожидаемое снижение вероятности дефолта, денежная ценность предотвращенных дефолтов, стоимость коммуникации и чистая экономическая ценность политики.</w:t>
      </w:r>
    </w:p>
    <w:p>
      <w:pPr>
        <w:pStyle w:val="a1"/>
        <w:jc w:val="both"/>
      </w:pPr>
      <w:r>
        <w:rPr>
          <w:rFonts w:ascii="Times New Roman" w:hAnsi="Times New Roman" w:cs="Times New Roman"/>
          <w:sz w:val="28"/>
        </w:rPr>
        <w:t xml:space="preserve">Экономическая оценка особенно важна в многоканальной задаче. Звонок оператора может иметь более сильный эффект, но быть дорогим и ограниченным по емкости. SMS может иметь небольшой эффект, но быть выгодным за счет низкой стоимости. Поэтому оптимальная политика должна ранжировать клиентов не только по величине uplift, но и по ожидаемой чистой выгоде воздействия.</w:t>
      </w:r>
    </w:p>
    <w:p>
      <w:pPr>
        <w:pStyle w:val="a1"/>
        <w:jc w:val="both"/>
      </w:pPr>
      <w:r>
        <w:rPr>
          <w:rFonts w:ascii="Times New Roman" w:hAnsi="Times New Roman" w:cs="Times New Roman"/>
          <w:sz w:val="28"/>
        </w:rPr>
        <w:t xml:space="preserve">Отдельный методологический блок работы связан со сценарием связи кредитного риска и эффекта коммуникации. Если эффект пропорционален риску, риск-скоринг может выглядеть очень сильным. Он выбирает высокорисковых клиентов, а эти клиенты одновременно имеют высокий потенциал снижения дефолта. В таком случае высокий результат risk-based стратегии не доказывает, что она понимает причинный эффект. Он может быть следствием структуры данных.</w:t>
      </w:r>
    </w:p>
    <w:p>
      <w:pPr>
        <w:pStyle w:val="a1"/>
        <w:jc w:val="both"/>
      </w:pPr>
      <w:r>
        <w:rPr>
          <w:rFonts w:ascii="Times New Roman" w:hAnsi="Times New Roman" w:cs="Times New Roman"/>
          <w:sz w:val="28"/>
        </w:rPr>
        <w:t xml:space="preserve">Чтобы проверить устойчивость выводов, вводится risk-effect alignment sweep. В нем сохраняются признаки клиентов, разбиения и историческая политика, но меняется связь между базовым риском и истинным эффектом. Рассматриваются четыре сценария: aligned, weakly aligned, orthogonal и mid-risk persuadables. Такой эксперимент превращает работу из демонстрации моделей в исследование условий, при которых uplift-подход действительно нужен.</w:t>
      </w:r>
    </w:p>
    <w:p>
      <w:pPr>
        <w:pStyle w:val="a1"/>
        <w:jc w:val="center"/>
      </w:pPr>
      <w:r>
        <w:rPr>
          <w:rFonts w:ascii="Times New Roman" w:hAnsi="Times New Roman" w:cs="Times New Roman"/>
          <w:sz w:val="28"/>
          <w:b/>
        </w:rPr>
        <w:t xml:space="preserve">Таблица 2.2 - Сценарии связи риска и эффекта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Сценарий</w:t>
            </w:r>
          </w:p>
        </w:tc>
        <w:tc>
          <w:tcPr>
            <w:tcW w:w="3000" w:type="dxa"/>
          </w:tcPr>
          <w:p>
            <w:pPr>
              <w:pStyle w:val="a1"/>
              <w:jc w:val="left"/>
            </w:pPr>
            <w:r>
              <w:rPr>
                <w:rFonts w:ascii="Times New Roman" w:hAnsi="Times New Roman" w:cs="Times New Roman"/>
                <w:sz w:val="24"/>
                <w:b/>
              </w:rPr>
              <w:t xml:space="preserve">Смысл</w:t>
            </w:r>
          </w:p>
        </w:tc>
        <w:tc>
          <w:tcPr>
            <w:tcW w:w="3000" w:type="dxa"/>
          </w:tcPr>
          <w:p>
            <w:pPr>
              <w:pStyle w:val="a1"/>
              <w:jc w:val="left"/>
            </w:pPr>
            <w:r>
              <w:rPr>
                <w:rFonts w:ascii="Times New Roman" w:hAnsi="Times New Roman" w:cs="Times New Roman"/>
                <w:sz w:val="24"/>
                <w:b/>
              </w:rPr>
              <w:t xml:space="preserve">Что проверяется</w:t>
            </w:r>
          </w:p>
        </w:tc>
      </w:tr>
      <w:tr>
        <w:tc>
          <w:tcPr>
            <w:tcW w:w="3000" w:type="dxa"/>
          </w:tcPr>
          <w:p>
            <w:pPr>
              <w:pStyle w:val="a1"/>
              <w:jc w:val="left"/>
            </w:pPr>
            <w:r>
              <w:rPr>
                <w:rFonts w:ascii="Times New Roman" w:hAnsi="Times New Roman" w:cs="Times New Roman"/>
                <w:sz w:val="24"/>
              </w:rPr>
              <w:t xml:space="preserve">Aligned</w:t>
            </w:r>
          </w:p>
        </w:tc>
        <w:tc>
          <w:tcPr>
            <w:tcW w:w="3000" w:type="dxa"/>
          </w:tcPr>
          <w:p>
            <w:pPr>
              <w:pStyle w:val="a1"/>
              <w:jc w:val="left"/>
            </w:pPr>
            <w:r>
              <w:rPr>
                <w:rFonts w:ascii="Times New Roman" w:hAnsi="Times New Roman" w:cs="Times New Roman"/>
                <w:sz w:val="24"/>
              </w:rPr>
              <w:t xml:space="preserve">Высокий риск связан с сильным эффектом</w:t>
            </w:r>
          </w:p>
        </w:tc>
        <w:tc>
          <w:tcPr>
            <w:tcW w:w="3000" w:type="dxa"/>
          </w:tcPr>
          <w:p>
            <w:pPr>
              <w:pStyle w:val="a1"/>
              <w:jc w:val="left"/>
            </w:pPr>
            <w:r>
              <w:rPr>
                <w:rFonts w:ascii="Times New Roman" w:hAnsi="Times New Roman" w:cs="Times New Roman"/>
                <w:sz w:val="24"/>
              </w:rPr>
              <w:t xml:space="preserve">Может ли риск-скоринг быть конкурентным в благоприятной структуре данных</w:t>
            </w:r>
          </w:p>
        </w:tc>
      </w:tr>
      <w:tr>
        <w:tc>
          <w:tcPr>
            <w:tcW w:w="3000" w:type="dxa"/>
          </w:tcPr>
          <w:p>
            <w:pPr>
              <w:pStyle w:val="a1"/>
              <w:jc w:val="left"/>
            </w:pPr>
            <w:r>
              <w:rPr>
                <w:rFonts w:ascii="Times New Roman" w:hAnsi="Times New Roman" w:cs="Times New Roman"/>
                <w:sz w:val="24"/>
              </w:rPr>
              <w:t xml:space="preserve">Weakly aligned</w:t>
            </w:r>
          </w:p>
        </w:tc>
        <w:tc>
          <w:tcPr>
            <w:tcW w:w="3000" w:type="dxa"/>
          </w:tcPr>
          <w:p>
            <w:pPr>
              <w:pStyle w:val="a1"/>
              <w:jc w:val="left"/>
            </w:pPr>
            <w:r>
              <w:rPr>
                <w:rFonts w:ascii="Times New Roman" w:hAnsi="Times New Roman" w:cs="Times New Roman"/>
                <w:sz w:val="24"/>
              </w:rPr>
              <w:t xml:space="preserve">Связь риска и эффекта частично ослаблена</w:t>
            </w:r>
          </w:p>
        </w:tc>
        <w:tc>
          <w:tcPr>
            <w:tcW w:w="3000" w:type="dxa"/>
          </w:tcPr>
          <w:p>
            <w:pPr>
              <w:pStyle w:val="a1"/>
              <w:jc w:val="left"/>
            </w:pPr>
            <w:r>
              <w:rPr>
                <w:rFonts w:ascii="Times New Roman" w:hAnsi="Times New Roman" w:cs="Times New Roman"/>
                <w:sz w:val="24"/>
              </w:rPr>
              <w:t xml:space="preserve">Насколько устойчивы выводы при менее выраженной связи</w:t>
            </w:r>
          </w:p>
        </w:tc>
      </w:tr>
      <w:tr>
        <w:tc>
          <w:tcPr>
            <w:tcW w:w="3000" w:type="dxa"/>
          </w:tcPr>
          <w:p>
            <w:pPr>
              <w:pStyle w:val="a1"/>
              <w:jc w:val="left"/>
            </w:pPr>
            <w:r>
              <w:rPr>
                <w:rFonts w:ascii="Times New Roman" w:hAnsi="Times New Roman" w:cs="Times New Roman"/>
                <w:sz w:val="24"/>
              </w:rPr>
              <w:t xml:space="preserve">Orthogonal</w:t>
            </w:r>
          </w:p>
        </w:tc>
        <w:tc>
          <w:tcPr>
            <w:tcW w:w="3000" w:type="dxa"/>
          </w:tcPr>
          <w:p>
            <w:pPr>
              <w:pStyle w:val="a1"/>
              <w:jc w:val="left"/>
            </w:pPr>
            <w:r>
              <w:rPr>
                <w:rFonts w:ascii="Times New Roman" w:hAnsi="Times New Roman" w:cs="Times New Roman"/>
                <w:sz w:val="24"/>
              </w:rPr>
              <w:t xml:space="preserve">Эффект почти не связан с риском</w:t>
            </w:r>
          </w:p>
        </w:tc>
        <w:tc>
          <w:tcPr>
            <w:tcW w:w="3000" w:type="dxa"/>
          </w:tcPr>
          <w:p>
            <w:pPr>
              <w:pStyle w:val="a1"/>
              <w:jc w:val="left"/>
            </w:pPr>
            <w:r>
              <w:rPr>
                <w:rFonts w:ascii="Times New Roman" w:hAnsi="Times New Roman" w:cs="Times New Roman"/>
                <w:sz w:val="24"/>
              </w:rPr>
              <w:t xml:space="preserve">Теряет ли риск-скоринг содержательное преимущество</w:t>
            </w:r>
          </w:p>
        </w:tc>
      </w:tr>
      <w:tr>
        <w:tc>
          <w:tcPr>
            <w:tcW w:w="3000" w:type="dxa"/>
          </w:tcPr>
          <w:p>
            <w:pPr>
              <w:pStyle w:val="a1"/>
              <w:jc w:val="left"/>
            </w:pPr>
            <w:r>
              <w:rPr>
                <w:rFonts w:ascii="Times New Roman" w:hAnsi="Times New Roman" w:cs="Times New Roman"/>
                <w:sz w:val="24"/>
              </w:rPr>
              <w:t xml:space="preserve">Mid-risk persuadables</w:t>
            </w:r>
          </w:p>
        </w:tc>
        <w:tc>
          <w:tcPr>
            <w:tcW w:w="3000" w:type="dxa"/>
          </w:tcPr>
          <w:p>
            <w:pPr>
              <w:pStyle w:val="a1"/>
              <w:jc w:val="left"/>
            </w:pPr>
            <w:r>
              <w:rPr>
                <w:rFonts w:ascii="Times New Roman" w:hAnsi="Times New Roman" w:cs="Times New Roman"/>
                <w:sz w:val="24"/>
              </w:rPr>
              <w:t xml:space="preserve">Максимальный эффект у клиентов среднего риска</w:t>
            </w:r>
          </w:p>
        </w:tc>
        <w:tc>
          <w:tcPr>
            <w:tcW w:w="3000" w:type="dxa"/>
          </w:tcPr>
          <w:p>
            <w:pPr>
              <w:pStyle w:val="a1"/>
              <w:jc w:val="left"/>
            </w:pPr>
            <w:r>
              <w:rPr>
                <w:rFonts w:ascii="Times New Roman" w:hAnsi="Times New Roman" w:cs="Times New Roman"/>
                <w:sz w:val="24"/>
              </w:rPr>
              <w:t xml:space="preserve">Способна ли uplift-модель находить изменяемый сегмент</w:t>
            </w:r>
          </w:p>
        </w:tc>
      </w:tr>
    </w:tbl>
    <w:p>
      <w:pPr>
        <w:pStyle w:val="a1"/>
        <w:jc w:val="both"/>
      </w:pPr>
      <w:r>
        <w:rPr>
          <w:rFonts w:ascii="Times New Roman" w:hAnsi="Times New Roman" w:cs="Times New Roman"/>
          <w:sz w:val="28"/>
        </w:rPr>
        <w:t xml:space="preserve">Выводы по второй главе. Методика работы связывает причинную постановку, диагностику данных, сравнение моделей и экономическую интерпретацию. Uplift-модель оценивается не изолированно, а как часть управленческого процесса: есть историческая политика, контрольная группа, набор возможных каналов, стоимость действий и риск того, что обычный скоринг может имитировать uplift при определенной структуре данных.</w:t>
      </w:r>
    </w:p>
    <w:p>
      <w:pPr>
        <w:pStyle w:val="1"/>
        <w:jc w:val="center"/>
      </w:pPr>
      <w:r>
        <w:rPr>
          <w:rFonts w:ascii="Times New Roman" w:hAnsi="Times New Roman" w:cs="Times New Roman"/>
          <w:sz w:val="28"/>
          <w:b/>
        </w:rPr>
        <w:t xml:space="preserve">ГЛАВА 3. ФОРМИРОВАНИЕ ВОСПРОИЗВОДИМОГО ЭКСПЕРИМЕНТАЛЬНОГО СТЕНДА</w:t>
      </w:r>
    </w:p>
    <w:p>
      <w:pPr>
        <w:pStyle w:val="21"/>
        <w:jc w:val="left"/>
      </w:pPr>
      <w:r>
        <w:rPr>
          <w:rFonts w:ascii="Times New Roman" w:hAnsi="Times New Roman" w:cs="Times New Roman"/>
          <w:sz w:val="28"/>
          <w:b/>
        </w:rPr>
        <w:t xml:space="preserve">3.1. Исходный набор данных и область применимости эксперимента</w:t>
      </w:r>
    </w:p>
    <w:p>
      <w:pPr>
        <w:pStyle w:val="a1"/>
        <w:jc w:val="both"/>
      </w:pPr>
      <w:r>
        <w:rPr>
          <w:rFonts w:ascii="Times New Roman" w:hAnsi="Times New Roman" w:cs="Times New Roman"/>
          <w:sz w:val="28"/>
        </w:rPr>
        <w:t xml:space="preserve">Экспериментальная часть работы построена на наборе данных Home Credit Default Risk. Он содержит реальные признаки заемщиков: демографические характеристики, параметры заявки, кредитную историю, сведения о предыдущих заявках, платежах и просрочках. Целевая переменная отражает факт дефолта. Такой набор подходит для моделирования кредитного риска, но не содержит истории коммуникаций, каналов воздействия и контрольной группы.</w:t>
      </w:r>
    </w:p>
    <w:p>
      <w:pPr>
        <w:pStyle w:val="a1"/>
        <w:jc w:val="both"/>
      </w:pPr>
      <w:r>
        <w:rPr>
          <w:rFonts w:ascii="Times New Roman" w:hAnsi="Times New Roman" w:cs="Times New Roman"/>
          <w:sz w:val="28"/>
        </w:rPr>
        <w:t xml:space="preserve">Отсутствие коммуникационного слоя является типичным ограничением открытых финансовых данных. В реальном банке такие данные также часто оказываются неполными: канал может фиксироваться в другой системе, результат коммуникации - в CRM, а факт дефолта - в кредитном контуре. Поэтому задача подготовки данных для uplift-моделирования требует не только машинного обучения, но и согласования источников, временных горизонтов и правил определения исхода.</w:t>
      </w:r>
    </w:p>
    <w:p>
      <w:pPr>
        <w:pStyle w:val="a1"/>
        <w:jc w:val="both"/>
      </w:pPr>
      <w:r>
        <w:rPr>
          <w:rFonts w:ascii="Times New Roman" w:hAnsi="Times New Roman" w:cs="Times New Roman"/>
          <w:sz w:val="28"/>
        </w:rPr>
        <w:t xml:space="preserve">В рамках работы все расчеты выполняются локально в репозитории. Исходные файлы размещаются в каталоге data/raw, обработанный набор - в data/processed, модели и параметры - в каталогах models и features. Для финальной защиты важно дополнительно обеспечить размещение исходных данных и программного стенда на ресурсе, допустимом требованиями образовательной организации, поскольку использование только внешней зарубежной платформы как источника может снизить оценку.</w:t>
      </w:r>
    </w:p>
    <w:p>
      <w:pPr>
        <w:pStyle w:val="a1"/>
        <w:jc w:val="both"/>
      </w:pPr>
      <w:r>
        <w:rPr>
          <w:rFonts w:ascii="Times New Roman" w:hAnsi="Times New Roman" w:cs="Times New Roman"/>
          <w:sz w:val="28"/>
        </w:rPr>
        <w:t xml:space="preserve">Основная область применимости эксперимента - методическая проверка. Синтетический причинный слой не утверждает, что именно так устроены реальные коммуникации конкретного банка. Он задает управляемую среду, в которой можно одновременно иметь реалистичные финансовые признаки и известный истинный эффект воздействия. Это позволяет исследовать барьеры внедрения и поведение моделей в условиях, близких к финтех-процессу.</w:t>
      </w:r>
    </w:p>
    <w:p>
      <w:pPr>
        <w:pStyle w:val="21"/>
        <w:jc w:val="left"/>
      </w:pPr>
      <w:r>
        <w:rPr>
          <w:rFonts w:ascii="Times New Roman" w:hAnsi="Times New Roman" w:cs="Times New Roman"/>
          <w:sz w:val="28"/>
          <w:b/>
        </w:rPr>
        <w:t xml:space="preserve">3.2. Генерация синтетического причинного слоя</w:t>
      </w:r>
    </w:p>
    <w:p>
      <w:pPr>
        <w:pStyle w:val="a1"/>
        <w:jc w:val="both"/>
      </w:pPr>
      <w:r>
        <w:rPr>
          <w:rFonts w:ascii="Times New Roman" w:hAnsi="Times New Roman" w:cs="Times New Roman"/>
          <w:sz w:val="28"/>
        </w:rPr>
        <w:t xml:space="preserve">Синтетический причинный слой строится поверх исходных признаков заемщика. Сначала формируется BASE_PD - базовая вероятность дефолта без коммуникации. Она рассчитывается на основе финансовых и поведенческих признаков, связанных с кредитным риском, и калибруется к средней доле дефолтов около 8%. BASE_PD играет роль исходного риска клиента до любого воздействия.</w:t>
      </w:r>
    </w:p>
    <w:p>
      <w:pPr>
        <w:pStyle w:val="a1"/>
        <w:jc w:val="both"/>
      </w:pPr>
      <w:r>
        <w:rPr>
          <w:rFonts w:ascii="Times New Roman" w:hAnsi="Times New Roman" w:cs="Times New Roman"/>
          <w:sz w:val="28"/>
        </w:rPr>
        <w:t xml:space="preserve">Затем формируется CONTACT_PROPENSITY - вероятность того, что банк инициирует коммуникацию. Она зависит от BASE_PD, суммы кредита, аннуитета и других признаков, тем самым создавая selection bias. Более рискованные клиенты чаще получают контакт. Это важно, потому что реальная банковская политика редко является случайной: ресурсы направляются туда, где ожидается больший риск.</w:t>
      </w:r>
    </w:p>
    <w:p>
      <w:pPr>
        <w:pStyle w:val="a1"/>
        <w:jc w:val="both"/>
      </w:pPr>
      <w:r>
        <w:rPr>
          <w:rFonts w:ascii="Times New Roman" w:hAnsi="Times New Roman" w:cs="Times New Roman"/>
          <w:sz w:val="28"/>
        </w:rPr>
        <w:t xml:space="preserve">Переменная COMMUNICATION задает фактически назначенный канал: отсутствие коммуникации, SMS, автоматический звонок или звонок оператора. Канал назначается неслучайно: высокорисковые клиенты чаще получают более дорогой и персонализированный звонок оператора, клиенты умеренного риска - автоматический звонок или SMS, а значительная часть клиентов остается в контрольной группе.</w:t>
      </w:r>
    </w:p>
    <w:p>
      <w:pPr>
        <w:pStyle w:val="a1"/>
        <w:jc w:val="both"/>
      </w:pPr>
      <w:r>
        <w:rPr>
          <w:rFonts w:ascii="Times New Roman" w:hAnsi="Times New Roman" w:cs="Times New Roman"/>
          <w:sz w:val="28"/>
        </w:rPr>
        <w:t xml:space="preserve">Для моделирования неоднородности эффекта создаются дополнительные переменные: RISK_SEGMENT, CONTACT_HISTORY, PREFERRED_CHANNEL, INTERACTION_SCORE и DELAY_FLAG. RISK_SEGMENT делит клиентов по уровню базового риска. CONTACT_HISTORY задает эффект усталости от предыдущих контактов. PREFERRED_CHANNEL отражает предпочтительный способ связи. INTERACTION_SCORE моделирует взаимодействие финансового профиля клиента и коммуникации. DELAY_FLAG описывает ситуацию, когда эффект проявляется не сразу.</w:t>
      </w:r>
    </w:p>
    <w:p>
      <w:pPr>
        <w:pStyle w:val="a1"/>
        <w:jc w:val="both"/>
      </w:pPr>
      <w:r>
        <w:rPr>
          <w:rFonts w:ascii="Times New Roman" w:hAnsi="Times New Roman" w:cs="Times New Roman"/>
          <w:sz w:val="28"/>
        </w:rPr>
        <w:t xml:space="preserve">Для каждого канала рассчитываются потенциальные вероятности дефолта: PD_NO_CONTACT, PD_SMS, PD_ROBOT_CALL и PD_OPERATOR_CALL. Соответствующие эффекты хранятся в UPLIFT_SMS, UPLIFT_ROBOT_CALL и UPLIFT_OPERATOR_CALL. Фактически наблюдаемый исход TARGET_AFTER_CONTACT генерируется из вероятности PD_AFTER_CONTACT, соответствующей назначенному каналу. TRUE_UPLIFT описывает эффект фактически назначенной коммуникации, а ORACLE_TRUE_UPLIFT и ORACLE_COMMUNICATION показывают лучший контрфактический канал.</w:t>
      </w:r>
    </w:p>
    <w:p>
      <w:pPr>
        <w:pStyle w:val="a1"/>
        <w:jc w:val="center"/>
      </w:pPr>
      <w:r>
        <w:rPr>
          <w:rFonts w:ascii="Times New Roman" w:hAnsi="Times New Roman" w:cs="Times New Roman"/>
          <w:sz w:val="28"/>
          <w:b/>
        </w:rPr>
        <w:t xml:space="preserve">Таблица 3.1 - Основные переменные синтетического причинного слоя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Переменная</w:t>
            </w:r>
          </w:p>
        </w:tc>
        <w:tc>
          <w:tcPr>
            <w:tcW w:w="3000" w:type="dxa"/>
          </w:tcPr>
          <w:p>
            <w:pPr>
              <w:pStyle w:val="a1"/>
              <w:jc w:val="left"/>
            </w:pPr>
            <w:r>
              <w:rPr>
                <w:rFonts w:ascii="Times New Roman" w:hAnsi="Times New Roman" w:cs="Times New Roman"/>
                <w:sz w:val="24"/>
                <w:b/>
              </w:rPr>
              <w:t xml:space="preserve">Роль в эксперименте</w:t>
            </w:r>
          </w:p>
        </w:tc>
      </w:tr>
      <w:tr>
        <w:tc>
          <w:tcPr>
            <w:tcW w:w="3000" w:type="dxa"/>
          </w:tcPr>
          <w:p>
            <w:pPr>
              <w:pStyle w:val="a1"/>
              <w:jc w:val="left"/>
            </w:pPr>
            <w:r>
              <w:rPr>
                <w:rFonts w:ascii="Times New Roman" w:hAnsi="Times New Roman" w:cs="Times New Roman"/>
                <w:sz w:val="24"/>
              </w:rPr>
              <w:t xml:space="preserve">BASE_PD</w:t>
            </w:r>
          </w:p>
        </w:tc>
        <w:tc>
          <w:tcPr>
            <w:tcW w:w="3000" w:type="dxa"/>
          </w:tcPr>
          <w:p>
            <w:pPr>
              <w:pStyle w:val="a1"/>
              <w:jc w:val="left"/>
            </w:pPr>
            <w:r>
              <w:rPr>
                <w:rFonts w:ascii="Times New Roman" w:hAnsi="Times New Roman" w:cs="Times New Roman"/>
                <w:sz w:val="24"/>
              </w:rPr>
              <w:t xml:space="preserve">Базовая вероятность дефолта без коммуникации</w:t>
            </w:r>
          </w:p>
        </w:tc>
      </w:tr>
      <w:tr>
        <w:tc>
          <w:tcPr>
            <w:tcW w:w="3000" w:type="dxa"/>
          </w:tcPr>
          <w:p>
            <w:pPr>
              <w:pStyle w:val="a1"/>
              <w:jc w:val="left"/>
            </w:pPr>
            <w:r>
              <w:rPr>
                <w:rFonts w:ascii="Times New Roman" w:hAnsi="Times New Roman" w:cs="Times New Roman"/>
                <w:sz w:val="24"/>
              </w:rPr>
              <w:t xml:space="preserve">CONTACT_PROPENSITY</w:t>
            </w:r>
          </w:p>
        </w:tc>
        <w:tc>
          <w:tcPr>
            <w:tcW w:w="3000" w:type="dxa"/>
          </w:tcPr>
          <w:p>
            <w:pPr>
              <w:pStyle w:val="a1"/>
              <w:jc w:val="left"/>
            </w:pPr>
            <w:r>
              <w:rPr>
                <w:rFonts w:ascii="Times New Roman" w:hAnsi="Times New Roman" w:cs="Times New Roman"/>
                <w:sz w:val="24"/>
              </w:rPr>
              <w:t xml:space="preserve">Вероятность назначения коммуникации банком</w:t>
            </w:r>
          </w:p>
        </w:tc>
      </w:tr>
      <w:tr>
        <w:tc>
          <w:tcPr>
            <w:tcW w:w="3000" w:type="dxa"/>
          </w:tcPr>
          <w:p>
            <w:pPr>
              <w:pStyle w:val="a1"/>
              <w:jc w:val="left"/>
            </w:pPr>
            <w:r>
              <w:rPr>
                <w:rFonts w:ascii="Times New Roman" w:hAnsi="Times New Roman" w:cs="Times New Roman"/>
                <w:sz w:val="24"/>
              </w:rPr>
              <w:t xml:space="preserve">COMMUNICATION</w:t>
            </w:r>
          </w:p>
        </w:tc>
        <w:tc>
          <w:tcPr>
            <w:tcW w:w="3000" w:type="dxa"/>
          </w:tcPr>
          <w:p>
            <w:pPr>
              <w:pStyle w:val="a1"/>
              <w:jc w:val="left"/>
            </w:pPr>
            <w:r>
              <w:rPr>
                <w:rFonts w:ascii="Times New Roman" w:hAnsi="Times New Roman" w:cs="Times New Roman"/>
                <w:sz w:val="24"/>
              </w:rPr>
              <w:t xml:space="preserve">Фактически назначенный канал воздействия</w:t>
            </w:r>
          </w:p>
        </w:tc>
      </w:tr>
      <w:tr>
        <w:tc>
          <w:tcPr>
            <w:tcW w:w="3000" w:type="dxa"/>
          </w:tcPr>
          <w:p>
            <w:pPr>
              <w:pStyle w:val="a1"/>
              <w:jc w:val="left"/>
            </w:pPr>
            <w:r>
              <w:rPr>
                <w:rFonts w:ascii="Times New Roman" w:hAnsi="Times New Roman" w:cs="Times New Roman"/>
                <w:sz w:val="24"/>
              </w:rPr>
              <w:t xml:space="preserve">CONTACT_HISTORY</w:t>
            </w:r>
          </w:p>
        </w:tc>
        <w:tc>
          <w:tcPr>
            <w:tcW w:w="3000" w:type="dxa"/>
          </w:tcPr>
          <w:p>
            <w:pPr>
              <w:pStyle w:val="a1"/>
              <w:jc w:val="left"/>
            </w:pPr>
            <w:r>
              <w:rPr>
                <w:rFonts w:ascii="Times New Roman" w:hAnsi="Times New Roman" w:cs="Times New Roman"/>
                <w:sz w:val="24"/>
              </w:rPr>
              <w:t xml:space="preserve">История контактов и эффект усталости</w:t>
            </w:r>
          </w:p>
        </w:tc>
      </w:tr>
      <w:tr>
        <w:tc>
          <w:tcPr>
            <w:tcW w:w="3000" w:type="dxa"/>
          </w:tcPr>
          <w:p>
            <w:pPr>
              <w:pStyle w:val="a1"/>
              <w:jc w:val="left"/>
            </w:pPr>
            <w:r>
              <w:rPr>
                <w:rFonts w:ascii="Times New Roman" w:hAnsi="Times New Roman" w:cs="Times New Roman"/>
                <w:sz w:val="24"/>
              </w:rPr>
              <w:t xml:space="preserve">PREFERRED_CHANNEL</w:t>
            </w:r>
          </w:p>
        </w:tc>
        <w:tc>
          <w:tcPr>
            <w:tcW w:w="3000" w:type="dxa"/>
          </w:tcPr>
          <w:p>
            <w:pPr>
              <w:pStyle w:val="a1"/>
              <w:jc w:val="left"/>
            </w:pPr>
            <w:r>
              <w:rPr>
                <w:rFonts w:ascii="Times New Roman" w:hAnsi="Times New Roman" w:cs="Times New Roman"/>
                <w:sz w:val="24"/>
              </w:rPr>
              <w:t xml:space="preserve">Предпочтительный канал клиента</w:t>
            </w:r>
          </w:p>
        </w:tc>
      </w:tr>
      <w:tr>
        <w:tc>
          <w:tcPr>
            <w:tcW w:w="3000" w:type="dxa"/>
          </w:tcPr>
          <w:p>
            <w:pPr>
              <w:pStyle w:val="a1"/>
              <w:jc w:val="left"/>
            </w:pPr>
            <w:r>
              <w:rPr>
                <w:rFonts w:ascii="Times New Roman" w:hAnsi="Times New Roman" w:cs="Times New Roman"/>
                <w:sz w:val="24"/>
              </w:rPr>
              <w:t xml:space="preserve">TRUE_UPLIFT</w:t>
            </w:r>
          </w:p>
        </w:tc>
        <w:tc>
          <w:tcPr>
            <w:tcW w:w="3000" w:type="dxa"/>
          </w:tcPr>
          <w:p>
            <w:pPr>
              <w:pStyle w:val="a1"/>
              <w:jc w:val="left"/>
            </w:pPr>
            <w:r>
              <w:rPr>
                <w:rFonts w:ascii="Times New Roman" w:hAnsi="Times New Roman" w:cs="Times New Roman"/>
                <w:sz w:val="24"/>
              </w:rPr>
              <w:t xml:space="preserve">Истинный эффект фактически назначенного канала</w:t>
            </w:r>
          </w:p>
        </w:tc>
      </w:tr>
      <w:tr>
        <w:tc>
          <w:tcPr>
            <w:tcW w:w="3000" w:type="dxa"/>
          </w:tcPr>
          <w:p>
            <w:pPr>
              <w:pStyle w:val="a1"/>
              <w:jc w:val="left"/>
            </w:pPr>
            <w:r>
              <w:rPr>
                <w:rFonts w:ascii="Times New Roman" w:hAnsi="Times New Roman" w:cs="Times New Roman"/>
                <w:sz w:val="24"/>
              </w:rPr>
              <w:t xml:space="preserve">UPLIFT_SMS / UPLIFT_ROBOT_CALL / UPLIFT_OPERATOR_CALL</w:t>
            </w:r>
          </w:p>
        </w:tc>
        <w:tc>
          <w:tcPr>
            <w:tcW w:w="3000" w:type="dxa"/>
          </w:tcPr>
          <w:p>
            <w:pPr>
              <w:pStyle w:val="a1"/>
              <w:jc w:val="left"/>
            </w:pPr>
            <w:r>
              <w:rPr>
                <w:rFonts w:ascii="Times New Roman" w:hAnsi="Times New Roman" w:cs="Times New Roman"/>
                <w:sz w:val="24"/>
              </w:rPr>
              <w:t xml:space="preserve">Контрфактические эффекты каналов</w:t>
            </w:r>
          </w:p>
        </w:tc>
      </w:tr>
      <w:tr>
        <w:tc>
          <w:tcPr>
            <w:tcW w:w="3000" w:type="dxa"/>
          </w:tcPr>
          <w:p>
            <w:pPr>
              <w:pStyle w:val="a1"/>
              <w:jc w:val="left"/>
            </w:pPr>
            <w:r>
              <w:rPr>
                <w:rFonts w:ascii="Times New Roman" w:hAnsi="Times New Roman" w:cs="Times New Roman"/>
                <w:sz w:val="24"/>
              </w:rPr>
              <w:t xml:space="preserve">TARGET_AFTER_CONTACT</w:t>
            </w:r>
          </w:p>
        </w:tc>
        <w:tc>
          <w:tcPr>
            <w:tcW w:w="3000" w:type="dxa"/>
          </w:tcPr>
          <w:p>
            <w:pPr>
              <w:pStyle w:val="a1"/>
              <w:jc w:val="left"/>
            </w:pPr>
            <w:r>
              <w:rPr>
                <w:rFonts w:ascii="Times New Roman" w:hAnsi="Times New Roman" w:cs="Times New Roman"/>
                <w:sz w:val="24"/>
              </w:rPr>
              <w:t xml:space="preserve">Наблюдаемый бинарный исход после коммуникации</w:t>
            </w:r>
          </w:p>
        </w:tc>
      </w:tr>
      <w:tr>
        <w:tc>
          <w:tcPr>
            <w:tcW w:w="3000" w:type="dxa"/>
          </w:tcPr>
          <w:p>
            <w:pPr>
              <w:pStyle w:val="a1"/>
              <w:jc w:val="left"/>
            </w:pPr>
            <w:r>
              <w:rPr>
                <w:rFonts w:ascii="Times New Roman" w:hAnsi="Times New Roman" w:cs="Times New Roman"/>
                <w:sz w:val="24"/>
              </w:rPr>
              <w:t xml:space="preserve">ORACLE_COMMUNICATION</w:t>
            </w:r>
          </w:p>
        </w:tc>
        <w:tc>
          <w:tcPr>
            <w:tcW w:w="3000" w:type="dxa"/>
          </w:tcPr>
          <w:p>
            <w:pPr>
              <w:pStyle w:val="a1"/>
              <w:jc w:val="left"/>
            </w:pPr>
            <w:r>
              <w:rPr>
                <w:rFonts w:ascii="Times New Roman" w:hAnsi="Times New Roman" w:cs="Times New Roman"/>
                <w:sz w:val="24"/>
              </w:rPr>
              <w:t xml:space="preserve">Лучший канал при полном знании потенциальных исходов</w:t>
            </w:r>
          </w:p>
        </w:tc>
      </w:tr>
    </w:tbl>
    <w:p>
      <w:pPr>
        <w:pStyle w:val="21"/>
        <w:jc w:val="left"/>
      </w:pPr>
      <w:r>
        <w:rPr>
          <w:rFonts w:ascii="Times New Roman" w:hAnsi="Times New Roman" w:cs="Times New Roman"/>
          <w:sz w:val="28"/>
          <w:b/>
        </w:rPr>
        <w:t xml:space="preserve">3.3. Диагностика пригодности данных для uplift-моделирования</w:t>
      </w:r>
    </w:p>
    <w:p>
      <w:pPr>
        <w:pStyle w:val="a1"/>
        <w:jc w:val="both"/>
      </w:pPr>
      <w:r>
        <w:rPr>
          <w:rFonts w:ascii="Times New Roman" w:hAnsi="Times New Roman" w:cs="Times New Roman"/>
          <w:sz w:val="28"/>
        </w:rPr>
        <w:t xml:space="preserve">Первый блок проверки связан с BASE_PD. Эта переменная должна сохранять связь с реальным кредитным риском, иначе синтетический слой будет оторван от финансовой природы данных. В аналитическом ноутбуке показано, что средний BASE_PD у дефолтных клиентов выше, чем у недефолтных, а ROC-AUC BASE_PD относительно исходного TARGET составляет около 0,695. Это соответствует умеренной разделяющей способности и подтверждает, что причинный слой построен не на случайном шуме.</w:t>
      </w:r>
    </w:p>
    <w:p>
      <w:pPr>
        <w:pStyle w:val="a1"/>
        <w:jc w:val="both"/>
      </w:pPr>
      <w:r>
        <w:rPr>
          <w:rFonts w:ascii="Times New Roman" w:hAnsi="Times New Roman" w:cs="Times New Roman"/>
          <w:sz w:val="28"/>
        </w:rPr>
        <w:t xml:space="preserve">Второй блок проверки связан со смещением назначения коммуникации. CONTACT_PROPENSITY и COMMUNICATION демонстрируют, что contacted-клиенты имеют более высокий средний риск, чем control-клиенты. В Tier 1 проверках средний CONTACT_PROPENSITY у control составляет около 0,091, а у contacted - около 0,172. SMD для BASE_PD до взвешивания достигает примерно 0,636, что указывает на сильное различие групп. После propensity weighting SMD по ключевым признакам снижается почти до нуля, что показывает техническую возможность балансировки, но не отменяет исходного selection bias.</w:t>
      </w:r>
    </w:p>
    <w:p>
      <w:pPr>
        <w:pStyle w:val="a1"/>
        <w:jc w:val="both"/>
      </w:pPr>
      <w:r>
        <w:rPr>
          <w:rFonts w:ascii="Times New Roman" w:hAnsi="Times New Roman" w:cs="Times New Roman"/>
          <w:sz w:val="28"/>
        </w:rPr>
        <w:t xml:space="preserve">Третий блок проверки связан с неоднородностью эффекта. TRUE_UPLIFT концентрируется около нуля, что соответствует реальной логике слабых CRM-воздействий: большинство клиентов не меняет поведение от одной коммуникации. При этом эффект различается по каналам и сегментам риска. Звонок оператора имеет более сильный средний эффект, но назначается более рискованным клиентам; SMS дешевле и слабее; автоматический звонок занимает промежуточное положение.</w:t>
      </w:r>
    </w:p>
    <w:p>
      <w:pPr>
        <w:pStyle w:val="a1"/>
        <w:jc w:val="both"/>
      </w:pPr>
      <w:r>
        <w:rPr>
          <w:rFonts w:ascii="Times New Roman" w:hAnsi="Times New Roman" w:cs="Times New Roman"/>
          <w:sz w:val="28"/>
        </w:rPr>
        <w:t xml:space="preserve">Четвертый блок проверки связан с оракулами. На тестовой выборке сумма предотвращенной вероятности дефолта текущей исторической политики составляет около 149,9, а counterfactual channel oracle - около 1038,9. Это означает, что текущая политика реализует примерно 14,4% валового потенциального эффекта. При этом текущая политика контактирует около 9,75% клиентов, тогда как контрфактический оракул назначает коммуникацию почти 98% клиентов. Последнее не является прямой бизнес-рекомендацией, но показывает масштаб нереализованного потенциала при отсутствии ограничений.</w:t>
      </w:r>
    </w:p>
    <w:p>
      <w:pPr>
        <w:pStyle w:val="a1"/>
        <w:jc w:val="both"/>
      </w:pPr>
      <w:r>
        <w:rPr>
          <w:rFonts w:ascii="Times New Roman" w:hAnsi="Times New Roman" w:cs="Times New Roman"/>
          <w:sz w:val="28"/>
        </w:rPr>
        <w:t xml:space="preserve">Пятый блок проверки связан с утечкой. В проекте выделен список leakage_cols_for_modeling, куда входят BASE_PD, COMMUNICATION, TARGET_AFTER_CONTACT, TRUE_UPLIFT, потенциальные исходы, оракульные поля и другие синтетические переменные, которые нельзя использовать как обычные признаки в риск-моделях. Для uplift-моделей переменная воздействия используется строго в рамках соответствующей постановки, а оракульные и post-treatment поля остаются только для оценки.</w:t>
      </w:r>
    </w:p>
    <w:p>
      <w:pPr>
        <w:pStyle w:val="21"/>
        <w:jc w:val="left"/>
      </w:pPr>
      <w:r>
        <w:rPr>
          <w:rFonts w:ascii="Times New Roman" w:hAnsi="Times New Roman" w:cs="Times New Roman"/>
          <w:sz w:val="28"/>
          <w:b/>
        </w:rPr>
        <w:t xml:space="preserve">3.4. Программная реализация моделей и контур воспроизводимости</w:t>
      </w:r>
    </w:p>
    <w:p>
      <w:pPr>
        <w:pStyle w:val="a1"/>
        <w:jc w:val="both"/>
      </w:pPr>
      <w:r>
        <w:rPr>
          <w:rFonts w:ascii="Times New Roman" w:hAnsi="Times New Roman" w:cs="Times New Roman"/>
          <w:sz w:val="28"/>
        </w:rPr>
        <w:t xml:space="preserve">Проект реализован как последовательность Jupyter-ноутбуков. prepare_dataset.ipynb выполняет агрегацию исходных таблиц, обработку пропусков, генерацию производных признаков и синтетического причинного слоя. analytic_dataset_ipynb_.ipynb проверяет качество синтетического набора: реалистичность BASE_PD, наличие selection bias, неоднородность эффекта, потенциальные исходы и защиту от утечки.</w:t>
      </w:r>
    </w:p>
    <w:p>
      <w:pPr>
        <w:pStyle w:val="a1"/>
        <w:jc w:val="both"/>
      </w:pPr>
      <w:r>
        <w:rPr>
          <w:rFonts w:ascii="Times New Roman" w:hAnsi="Times New Roman" w:cs="Times New Roman"/>
          <w:sz w:val="28"/>
        </w:rPr>
        <w:t xml:space="preserve">cboost.ipynb реализует риск-модель CatBoost. Она использует отбор признаков, корреляционную фильтрацию, подбор гиперпараметров через Optuna и интерпретацию SHAP. logreg.ipynb реализует интерпретируемую логистическую регрессию с WoE-кодированием через OptimalBinning, IV-фильтрацией и подбором гиперпараметров. uplift_models.ipynb обучает S-Learner, T-Learner, X-Learner и DR-Learner, рассчитывает Qini/AUUC, доверительные интервалы, проверку по TRUE_UPLIFT и сценарный анализ. policy_evaluation.ipynb переводит модельные оценки в бизнес-кривые и чистую экономическую ценность.</w:t>
      </w:r>
    </w:p>
    <w:p>
      <w:pPr>
        <w:pStyle w:val="a1"/>
        <w:jc w:val="both"/>
      </w:pPr>
      <w:r>
        <w:rPr>
          <w:rFonts w:ascii="Times New Roman" w:hAnsi="Times New Roman" w:cs="Times New Roman"/>
          <w:sz w:val="28"/>
        </w:rPr>
        <w:t xml:space="preserve">Для воспроизводимости используется единое значение RANDOM_SEED = 91. Все случайные процедуры должны фиксировать random_state или random_seed. Разбиение данных задается как 60% train, 20% test и 20% OOT. OOT-выборка играет роль более поздней по времени выборки и используется для проверки устойчивости выводов вне обучающего периода.</w:t>
      </w:r>
    </w:p>
    <w:p>
      <w:pPr>
        <w:pStyle w:val="a1"/>
        <w:jc w:val="both"/>
      </w:pPr>
      <w:r>
        <w:rPr>
          <w:rFonts w:ascii="Times New Roman" w:hAnsi="Times New Roman" w:cs="Times New Roman"/>
          <w:sz w:val="28"/>
        </w:rPr>
        <w:t xml:space="preserve">Важной частью контура является сохранение артефактов. Обработанный набор данных сохраняется как data/processed/uplift-dataset.csv, предсказания uplift-моделей - как data/processed/uplift_scores.csv, обученные модели и параметры - в models, списки признаков - в features. Это позволяет повторять бизнес-оценку и проверку устойчивости без переобучения всех моделей.</w:t>
      </w:r>
    </w:p>
    <w:p>
      <w:pPr>
        <w:pStyle w:val="a1"/>
        <w:jc w:val="both"/>
      </w:pPr>
      <w:r>
        <w:rPr>
          <w:rFonts w:ascii="Times New Roman" w:hAnsi="Times New Roman" w:cs="Times New Roman"/>
          <w:sz w:val="28"/>
        </w:rPr>
        <w:t xml:space="preserve">Выводы по третьей главе. Сформирован воспроизводимый стенд, который соединяет реальные финансовые признаки и управляемый синтетический причинный слой. В нем явно представлены основные барьеры финтех-применения uplift: неслучайное назначение воздействия, слабый эффект, дисбаланс каналов, необходимость контроля, риск утечки и различие между качеством модели и ценностью политики.</w:t>
      </w:r>
    </w:p>
    <w:p>
      <w:pPr>
        <w:pStyle w:val="1"/>
        <w:jc w:val="center"/>
      </w:pPr>
      <w:r>
        <w:rPr>
          <w:rFonts w:ascii="Times New Roman" w:hAnsi="Times New Roman" w:cs="Times New Roman"/>
          <w:sz w:val="28"/>
          <w:b/>
        </w:rPr>
        <w:t xml:space="preserve">ГЛАВА 4. РЕЗУЛЬТАТЫ, БИЗНЕС-ЦЕННОСТЬ И УСЛОВИЯ ВНЕДРЕНИЯ</w:t>
      </w:r>
    </w:p>
    <w:p>
      <w:pPr>
        <w:pStyle w:val="21"/>
        <w:jc w:val="left"/>
      </w:pPr>
      <w:r>
        <w:rPr>
          <w:rFonts w:ascii="Times New Roman" w:hAnsi="Times New Roman" w:cs="Times New Roman"/>
          <w:sz w:val="28"/>
          <w:b/>
        </w:rPr>
        <w:t xml:space="preserve">4.1. Качество риск-моделей как базовых стратегий</w:t>
      </w:r>
    </w:p>
    <w:p>
      <w:pPr>
        <w:pStyle w:val="a1"/>
        <w:jc w:val="both"/>
      </w:pPr>
      <w:r>
        <w:rPr>
          <w:rFonts w:ascii="Times New Roman" w:hAnsi="Times New Roman" w:cs="Times New Roman"/>
          <w:sz w:val="28"/>
        </w:rPr>
        <w:t xml:space="preserve">Риск-модели используются как базовые стратегии, потому что именно они чаще всего доступны банку до внедрения причинного подхода. Логистическая регрессия с WoE-кодированием представляет интерпретируемый и регуляторно привычный подход. CatBoost представляет более сильную нелинейную модель, способную учитывать сложные взаимодействия признаков.</w:t>
      </w:r>
    </w:p>
    <w:p>
      <w:pPr>
        <w:pStyle w:val="a1"/>
        <w:jc w:val="both"/>
      </w:pPr>
      <w:r>
        <w:rPr>
          <w:rFonts w:ascii="Times New Roman" w:hAnsi="Times New Roman" w:cs="Times New Roman"/>
          <w:sz w:val="28"/>
        </w:rPr>
        <w:t xml:space="preserve">Логистическая регрессия обучена на восьми признаках, отобранных по IV, Solo Gini и корреляционной фильтрации WoE-преобразованных переменных. Ее качество составляет примерно 34% Gini на обучающей выборке, 33% на тестовой и 32% на OOT. Малый разрыв между выборками говорит об устойчивости, но также отражает потолок линейного класса: модель быстро выходит на плато и не улавливает сложные взаимодействия.</w:t>
      </w:r>
    </w:p>
    <w:p>
      <w:pPr>
        <w:pStyle w:val="a1"/>
        <w:jc w:val="both"/>
      </w:pPr>
      <w:r>
        <w:rPr>
          <w:rFonts w:ascii="Times New Roman" w:hAnsi="Times New Roman" w:cs="Times New Roman"/>
          <w:sz w:val="28"/>
        </w:rPr>
        <w:t xml:space="preserve">CatBoost показывает более высокое качество: около 72% Gini на обучающей выборке и около 55% на test и OOT. Разрыв между train и test указывает на частичное переобучение, но близость test и OOT говорит о стабильности вне обучающего периода. Для задачи кредитного риска это сильный baseline, который должен быть включен в сравнение с uplift-моделями.</w:t>
      </w:r>
    </w:p>
    <w:p>
      <w:pPr>
        <w:pStyle w:val="a1"/>
        <w:jc w:val="center"/>
      </w:pPr>
      <w:r>
        <w:rPr>
          <w:rFonts w:ascii="Times New Roman" w:hAnsi="Times New Roman" w:cs="Times New Roman"/>
          <w:sz w:val="28"/>
          <w:b/>
        </w:rPr>
        <w:t xml:space="preserve">Таблица 4.1 - Качество риск-моделей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Модель</w:t>
            </w:r>
          </w:p>
        </w:tc>
        <w:tc>
          <w:tcPr>
            <w:tcW w:w="3000" w:type="dxa"/>
          </w:tcPr>
          <w:p>
            <w:pPr>
              <w:pStyle w:val="a1"/>
              <w:jc w:val="left"/>
            </w:pPr>
            <w:r>
              <w:rPr>
                <w:rFonts w:ascii="Times New Roman" w:hAnsi="Times New Roman" w:cs="Times New Roman"/>
                <w:sz w:val="24"/>
                <w:b/>
              </w:rPr>
              <w:t xml:space="preserve">Train Gini</w:t>
            </w:r>
          </w:p>
        </w:tc>
        <w:tc>
          <w:tcPr>
            <w:tcW w:w="3000" w:type="dxa"/>
          </w:tcPr>
          <w:p>
            <w:pPr>
              <w:pStyle w:val="a1"/>
              <w:jc w:val="left"/>
            </w:pPr>
            <w:r>
              <w:rPr>
                <w:rFonts w:ascii="Times New Roman" w:hAnsi="Times New Roman" w:cs="Times New Roman"/>
                <w:sz w:val="24"/>
                <w:b/>
              </w:rPr>
              <w:t xml:space="preserve">Test Gini</w:t>
            </w:r>
          </w:p>
        </w:tc>
        <w:tc>
          <w:tcPr>
            <w:tcW w:w="3000" w:type="dxa"/>
          </w:tcPr>
          <w:p>
            <w:pPr>
              <w:pStyle w:val="a1"/>
              <w:jc w:val="left"/>
            </w:pPr>
            <w:r>
              <w:rPr>
                <w:rFonts w:ascii="Times New Roman" w:hAnsi="Times New Roman" w:cs="Times New Roman"/>
                <w:sz w:val="24"/>
                <w:b/>
              </w:rPr>
              <w:t xml:space="preserve">OOT Gini</w:t>
            </w:r>
          </w:p>
        </w:tc>
        <w:tc>
          <w:tcPr>
            <w:tcW w:w="3000" w:type="dxa"/>
          </w:tcPr>
          <w:p>
            <w:pPr>
              <w:pStyle w:val="a1"/>
              <w:jc w:val="left"/>
            </w:pPr>
            <w:r>
              <w:rPr>
                <w:rFonts w:ascii="Times New Roman" w:hAnsi="Times New Roman" w:cs="Times New Roman"/>
                <w:sz w:val="24"/>
                <w:b/>
              </w:rPr>
              <w:t xml:space="preserve">Интерпретация</w:t>
            </w:r>
          </w:p>
        </w:tc>
      </w:tr>
      <w:tr>
        <w:tc>
          <w:tcPr>
            <w:tcW w:w="3000" w:type="dxa"/>
          </w:tcPr>
          <w:p>
            <w:pPr>
              <w:pStyle w:val="a1"/>
              <w:jc w:val="left"/>
            </w:pPr>
            <w:r>
              <w:rPr>
                <w:rFonts w:ascii="Times New Roman" w:hAnsi="Times New Roman" w:cs="Times New Roman"/>
                <w:sz w:val="24"/>
              </w:rPr>
              <w:t xml:space="preserve">Логистическая регрессия с WoE</w:t>
            </w:r>
          </w:p>
        </w:tc>
        <w:tc>
          <w:tcPr>
            <w:tcW w:w="3000" w:type="dxa"/>
          </w:tcPr>
          <w:p>
            <w:pPr>
              <w:pStyle w:val="a1"/>
              <w:jc w:val="left"/>
            </w:pPr>
            <w:r>
              <w:rPr>
                <w:rFonts w:ascii="Times New Roman" w:hAnsi="Times New Roman" w:cs="Times New Roman"/>
                <w:sz w:val="24"/>
              </w:rPr>
              <w:t xml:space="preserve">около 0,34</w:t>
            </w:r>
          </w:p>
        </w:tc>
        <w:tc>
          <w:tcPr>
            <w:tcW w:w="3000" w:type="dxa"/>
          </w:tcPr>
          <w:p>
            <w:pPr>
              <w:pStyle w:val="a1"/>
              <w:jc w:val="left"/>
            </w:pPr>
            <w:r>
              <w:rPr>
                <w:rFonts w:ascii="Times New Roman" w:hAnsi="Times New Roman" w:cs="Times New Roman"/>
                <w:sz w:val="24"/>
              </w:rPr>
              <w:t xml:space="preserve">около 0,33</w:t>
            </w:r>
          </w:p>
        </w:tc>
        <w:tc>
          <w:tcPr>
            <w:tcW w:w="3000" w:type="dxa"/>
          </w:tcPr>
          <w:p>
            <w:pPr>
              <w:pStyle w:val="a1"/>
              <w:jc w:val="left"/>
            </w:pPr>
            <w:r>
              <w:rPr>
                <w:rFonts w:ascii="Times New Roman" w:hAnsi="Times New Roman" w:cs="Times New Roman"/>
                <w:sz w:val="24"/>
              </w:rPr>
              <w:t xml:space="preserve">около 0,32</w:t>
            </w:r>
          </w:p>
        </w:tc>
        <w:tc>
          <w:tcPr>
            <w:tcW w:w="3000" w:type="dxa"/>
          </w:tcPr>
          <w:p>
            <w:pPr>
              <w:pStyle w:val="a1"/>
              <w:jc w:val="left"/>
            </w:pPr>
            <w:r>
              <w:rPr>
                <w:rFonts w:ascii="Times New Roman" w:hAnsi="Times New Roman" w:cs="Times New Roman"/>
                <w:sz w:val="24"/>
              </w:rPr>
              <w:t xml:space="preserve">Интерпретируемая, но ограниченная по качеству</w:t>
            </w:r>
          </w:p>
        </w:tc>
      </w:tr>
      <w:tr>
        <w:tc>
          <w:tcPr>
            <w:tcW w:w="3000" w:type="dxa"/>
          </w:tcPr>
          <w:p>
            <w:pPr>
              <w:pStyle w:val="a1"/>
              <w:jc w:val="left"/>
            </w:pPr>
            <w:r>
              <w:rPr>
                <w:rFonts w:ascii="Times New Roman" w:hAnsi="Times New Roman" w:cs="Times New Roman"/>
                <w:sz w:val="24"/>
              </w:rPr>
              <w:t xml:space="preserve">CatBoost</w:t>
            </w:r>
          </w:p>
        </w:tc>
        <w:tc>
          <w:tcPr>
            <w:tcW w:w="3000" w:type="dxa"/>
          </w:tcPr>
          <w:p>
            <w:pPr>
              <w:pStyle w:val="a1"/>
              <w:jc w:val="left"/>
            </w:pPr>
            <w:r>
              <w:rPr>
                <w:rFonts w:ascii="Times New Roman" w:hAnsi="Times New Roman" w:cs="Times New Roman"/>
                <w:sz w:val="24"/>
              </w:rPr>
              <w:t xml:space="preserve">около 0,72</w:t>
            </w:r>
          </w:p>
        </w:tc>
        <w:tc>
          <w:tcPr>
            <w:tcW w:w="3000" w:type="dxa"/>
          </w:tcPr>
          <w:p>
            <w:pPr>
              <w:pStyle w:val="a1"/>
              <w:jc w:val="left"/>
            </w:pPr>
            <w:r>
              <w:rPr>
                <w:rFonts w:ascii="Times New Roman" w:hAnsi="Times New Roman" w:cs="Times New Roman"/>
                <w:sz w:val="24"/>
              </w:rPr>
              <w:t xml:space="preserve">около 0,55</w:t>
            </w:r>
          </w:p>
        </w:tc>
        <w:tc>
          <w:tcPr>
            <w:tcW w:w="3000" w:type="dxa"/>
          </w:tcPr>
          <w:p>
            <w:pPr>
              <w:pStyle w:val="a1"/>
              <w:jc w:val="left"/>
            </w:pPr>
            <w:r>
              <w:rPr>
                <w:rFonts w:ascii="Times New Roman" w:hAnsi="Times New Roman" w:cs="Times New Roman"/>
                <w:sz w:val="24"/>
              </w:rPr>
              <w:t xml:space="preserve">около 0,55</w:t>
            </w:r>
          </w:p>
        </w:tc>
        <w:tc>
          <w:tcPr>
            <w:tcW w:w="3000" w:type="dxa"/>
          </w:tcPr>
          <w:p>
            <w:pPr>
              <w:pStyle w:val="a1"/>
              <w:jc w:val="left"/>
            </w:pPr>
            <w:r>
              <w:rPr>
                <w:rFonts w:ascii="Times New Roman" w:hAnsi="Times New Roman" w:cs="Times New Roman"/>
                <w:sz w:val="24"/>
              </w:rPr>
              <w:t xml:space="preserve">Сильная нелинейная модель риска</w:t>
            </w:r>
          </w:p>
        </w:tc>
      </w:tr>
    </w:tbl>
    <w:p>
      <w:pPr>
        <w:pStyle w:val="a1"/>
        <w:jc w:val="both"/>
      </w:pPr>
      <w:r>
        <w:rPr>
          <w:rFonts w:ascii="Times New Roman" w:hAnsi="Times New Roman" w:cs="Times New Roman"/>
          <w:sz w:val="28"/>
        </w:rPr>
        <w:t xml:space="preserve">Эти результаты важны для общей логики работы. Риск-модели действительно хорошо решают задачу прогнозирования дефолта, особенно CatBoost. Поэтому дальнейшее сравнение не должно строиться на искусственном ослаблении baseline. Напротив, uplift-подход должен показывать ценность относительно сильной риск-ориентированной стратегии.</w:t>
      </w:r>
    </w:p>
    <w:p>
      <w:pPr>
        <w:pStyle w:val="21"/>
        <w:jc w:val="left"/>
      </w:pPr>
      <w:r>
        <w:rPr>
          <w:rFonts w:ascii="Times New Roman" w:hAnsi="Times New Roman" w:cs="Times New Roman"/>
          <w:sz w:val="28"/>
          <w:b/>
        </w:rPr>
        <w:t xml:space="preserve">4.2. Результаты uplift-моделей и интерпретация оракулов</w:t>
      </w:r>
    </w:p>
    <w:p>
      <w:pPr>
        <w:pStyle w:val="a1"/>
        <w:jc w:val="both"/>
      </w:pPr>
      <w:r>
        <w:rPr>
          <w:rFonts w:ascii="Times New Roman" w:hAnsi="Times New Roman" w:cs="Times New Roman"/>
          <w:sz w:val="28"/>
        </w:rPr>
        <w:t xml:space="preserve">В logged-policy оценке лучшим meta-learner является T-Learner. Его AUUC на тестовой выборке составляет около 359,8. S-Learner достигает около 335,5. X-Learner и DR-Learner в текущей постановке заметно уступают: их AUUC составляет около 153,7 и 141,5 соответственно. Такой результат показывает, что более сложная причинная схема не гарантирует лучшего качества на конечной выборке при слабом сигнале, дисбалансе каналов и проблемах перекрытия.</w:t>
      </w:r>
    </w:p>
    <w:p>
      <w:pPr>
        <w:pStyle w:val="a1"/>
        <w:jc w:val="both"/>
      </w:pPr>
      <w:r>
        <w:rPr>
          <w:rFonts w:ascii="Times New Roman" w:hAnsi="Times New Roman" w:cs="Times New Roman"/>
          <w:sz w:val="28"/>
        </w:rPr>
        <w:t xml:space="preserve">Сильным ориентиром остается BASE_PD: AUUC около 365,9. Это ключевой результат для интерпретации всей работы. Синтетический показатель базового риска частично связан с механизмом генерации эффекта, поэтому он может ранжировать клиентов почти на уровне T-Learner. Такой результат не опровергает uplift-подход, а показывает главную методологическую проблему: если риск и эффект согласованы, риск-ориентированная стратегия может имитировать причинное ранжирование.</w:t>
      </w:r>
    </w:p>
    <w:p>
      <w:pPr>
        <w:pStyle w:val="a1"/>
        <w:jc w:val="both"/>
      </w:pPr>
      <w:r>
        <w:rPr>
          <w:rFonts w:ascii="Times New Roman" w:hAnsi="Times New Roman" w:cs="Times New Roman"/>
          <w:sz w:val="28"/>
        </w:rPr>
        <w:t xml:space="preserve">По сравнению с практическими риск-моделями uplift-подход выглядит сильнее. CatBoost-risk на всех признаках имеет AUUC около 239,6, LogReg-risk - около 236,2. T-Learner и S-Learner существенно превосходят эти значения. Bootstrap-доверительные интервалы подтверждают устойчивость: для T-Learner интервал составляет примерно [334,7; 384,5], для S-Learner - [310,1; 358,7], для CatBoost-risk - [220,9; 261,2].</w:t>
      </w:r>
    </w:p>
    <w:p>
      <w:pPr>
        <w:pStyle w:val="a1"/>
        <w:jc w:val="both"/>
      </w:pPr>
      <w:r>
        <w:rPr>
          <w:rFonts w:ascii="Times New Roman" w:hAnsi="Times New Roman" w:cs="Times New Roman"/>
          <w:sz w:val="28"/>
        </w:rPr>
        <w:t xml:space="preserve">Paired bootstrap показывает, что T-Learner превосходит CatBoost-risk примерно на 120,3 AUUC, а 95% доверительный интервал разницы составляет около [102,6; 136,7]. Разница T-Learner и S-Learner также статистически устойчива и составляет около 24,3 AUUC. При этом T-Learner уступает BASE_PD примерно на 6,1 AUUC, что еще раз подчеркивает: BASE_PD в текущем синтетическом мире является не обычной промышленной моделью, а сильным диагностическим ориентиром, близким к механизму генерации.</w:t>
      </w:r>
    </w:p>
    <w:p>
      <w:pPr>
        <w:pStyle w:val="a1"/>
        <w:jc w:val="center"/>
      </w:pPr>
      <w:r>
        <w:rPr>
          <w:rFonts w:ascii="Times New Roman" w:hAnsi="Times New Roman" w:cs="Times New Roman"/>
          <w:sz w:val="28"/>
          <w:b/>
        </w:rPr>
        <w:t xml:space="preserve">Таблица 4.2 - AUUC и доверительные интервалы в logged-policy оценке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Стратегия</w:t>
            </w:r>
          </w:p>
        </w:tc>
        <w:tc>
          <w:tcPr>
            <w:tcW w:w="3000" w:type="dxa"/>
          </w:tcPr>
          <w:p>
            <w:pPr>
              <w:pStyle w:val="a1"/>
              <w:jc w:val="left"/>
            </w:pPr>
            <w:r>
              <w:rPr>
                <w:rFonts w:ascii="Times New Roman" w:hAnsi="Times New Roman" w:cs="Times New Roman"/>
                <w:sz w:val="24"/>
                <w:b/>
              </w:rPr>
              <w:t xml:space="preserve">AUUC test</w:t>
            </w:r>
          </w:p>
        </w:tc>
        <w:tc>
          <w:tcPr>
            <w:tcW w:w="3000" w:type="dxa"/>
          </w:tcPr>
          <w:p>
            <w:pPr>
              <w:pStyle w:val="a1"/>
              <w:jc w:val="left"/>
            </w:pPr>
            <w:r>
              <w:rPr>
                <w:rFonts w:ascii="Times New Roman" w:hAnsi="Times New Roman" w:cs="Times New Roman"/>
                <w:sz w:val="24"/>
                <w:b/>
              </w:rPr>
              <w:t xml:space="preserve">95% доверительный интервал</w:t>
            </w:r>
          </w:p>
        </w:tc>
        <w:tc>
          <w:tcPr>
            <w:tcW w:w="3000" w:type="dxa"/>
          </w:tcPr>
          <w:p>
            <w:pPr>
              <w:pStyle w:val="a1"/>
              <w:jc w:val="left"/>
            </w:pPr>
            <w:r>
              <w:rPr>
                <w:rFonts w:ascii="Times New Roman" w:hAnsi="Times New Roman" w:cs="Times New Roman"/>
                <w:sz w:val="24"/>
                <w:b/>
              </w:rPr>
              <w:t xml:space="preserve">Комментарий</w:t>
            </w:r>
          </w:p>
        </w:tc>
      </w:tr>
      <w:tr>
        <w:tc>
          <w:tcPr>
            <w:tcW w:w="3000" w:type="dxa"/>
          </w:tcPr>
          <w:p>
            <w:pPr>
              <w:pStyle w:val="a1"/>
              <w:jc w:val="left"/>
            </w:pPr>
            <w:r>
              <w:rPr>
                <w:rFonts w:ascii="Times New Roman" w:hAnsi="Times New Roman" w:cs="Times New Roman"/>
                <w:sz w:val="24"/>
              </w:rPr>
              <w:t xml:space="preserve">Logged-policy oracle</w:t>
            </w:r>
          </w:p>
        </w:tc>
        <w:tc>
          <w:tcPr>
            <w:tcW w:w="3000" w:type="dxa"/>
          </w:tcPr>
          <w:p>
            <w:pPr>
              <w:pStyle w:val="a1"/>
              <w:jc w:val="left"/>
            </w:pPr>
            <w:r>
              <w:rPr>
                <w:rFonts w:ascii="Times New Roman" w:hAnsi="Times New Roman" w:cs="Times New Roman"/>
                <w:sz w:val="24"/>
              </w:rPr>
              <w:t xml:space="preserve">435,3</w:t>
            </w:r>
          </w:p>
        </w:tc>
        <w:tc>
          <w:tcPr>
            <w:tcW w:w="3000" w:type="dxa"/>
          </w:tcPr>
          <w:p>
            <w:pPr>
              <w:pStyle w:val="a1"/>
              <w:jc w:val="left"/>
            </w:pPr>
            <w:r>
              <w:rPr>
                <w:rFonts w:ascii="Times New Roman" w:hAnsi="Times New Roman" w:cs="Times New Roman"/>
                <w:sz w:val="24"/>
              </w:rPr>
              <w:t xml:space="preserve">[405,1; 459,4]</w:t>
            </w:r>
          </w:p>
        </w:tc>
        <w:tc>
          <w:tcPr>
            <w:tcW w:w="3000" w:type="dxa"/>
          </w:tcPr>
          <w:p>
            <w:pPr>
              <w:pStyle w:val="a1"/>
              <w:jc w:val="left"/>
            </w:pPr>
            <w:r>
              <w:rPr>
                <w:rFonts w:ascii="Times New Roman" w:hAnsi="Times New Roman" w:cs="Times New Roman"/>
                <w:sz w:val="24"/>
              </w:rPr>
              <w:t xml:space="preserve">Верхняя граница внутри фактической политики</w:t>
            </w:r>
          </w:p>
        </w:tc>
      </w:tr>
      <w:tr>
        <w:tc>
          <w:tcPr>
            <w:tcW w:w="3000" w:type="dxa"/>
          </w:tcPr>
          <w:p>
            <w:pPr>
              <w:pStyle w:val="a1"/>
              <w:jc w:val="left"/>
            </w:pPr>
            <w:r>
              <w:rPr>
                <w:rFonts w:ascii="Times New Roman" w:hAnsi="Times New Roman" w:cs="Times New Roman"/>
                <w:sz w:val="24"/>
              </w:rPr>
              <w:t xml:space="preserve">BASE_PD</w:t>
            </w:r>
          </w:p>
        </w:tc>
        <w:tc>
          <w:tcPr>
            <w:tcW w:w="3000" w:type="dxa"/>
          </w:tcPr>
          <w:p>
            <w:pPr>
              <w:pStyle w:val="a1"/>
              <w:jc w:val="left"/>
            </w:pPr>
            <w:r>
              <w:rPr>
                <w:rFonts w:ascii="Times New Roman" w:hAnsi="Times New Roman" w:cs="Times New Roman"/>
                <w:sz w:val="24"/>
              </w:rPr>
              <w:t xml:space="preserve">365,9</w:t>
            </w:r>
          </w:p>
        </w:tc>
        <w:tc>
          <w:tcPr>
            <w:tcW w:w="3000" w:type="dxa"/>
          </w:tcPr>
          <w:p>
            <w:pPr>
              <w:pStyle w:val="a1"/>
              <w:jc w:val="left"/>
            </w:pPr>
            <w:r>
              <w:rPr>
                <w:rFonts w:ascii="Times New Roman" w:hAnsi="Times New Roman" w:cs="Times New Roman"/>
                <w:sz w:val="24"/>
              </w:rPr>
              <w:t xml:space="preserve">[340,2; 391,9]</w:t>
            </w:r>
          </w:p>
        </w:tc>
        <w:tc>
          <w:tcPr>
            <w:tcW w:w="3000" w:type="dxa"/>
          </w:tcPr>
          <w:p>
            <w:pPr>
              <w:pStyle w:val="a1"/>
              <w:jc w:val="left"/>
            </w:pPr>
            <w:r>
              <w:rPr>
                <w:rFonts w:ascii="Times New Roman" w:hAnsi="Times New Roman" w:cs="Times New Roman"/>
                <w:sz w:val="24"/>
              </w:rPr>
              <w:t xml:space="preserve">Сильный синтетический риск-ориентир</w:t>
            </w:r>
          </w:p>
        </w:tc>
      </w:tr>
      <w:tr>
        <w:tc>
          <w:tcPr>
            <w:tcW w:w="3000" w:type="dxa"/>
          </w:tcPr>
          <w:p>
            <w:pPr>
              <w:pStyle w:val="a1"/>
              <w:jc w:val="left"/>
            </w:pPr>
            <w:r>
              <w:rPr>
                <w:rFonts w:ascii="Times New Roman" w:hAnsi="Times New Roman" w:cs="Times New Roman"/>
                <w:sz w:val="24"/>
              </w:rPr>
              <w:t xml:space="preserve">T-Learner</w:t>
            </w:r>
          </w:p>
        </w:tc>
        <w:tc>
          <w:tcPr>
            <w:tcW w:w="3000" w:type="dxa"/>
          </w:tcPr>
          <w:p>
            <w:pPr>
              <w:pStyle w:val="a1"/>
              <w:jc w:val="left"/>
            </w:pPr>
            <w:r>
              <w:rPr>
                <w:rFonts w:ascii="Times New Roman" w:hAnsi="Times New Roman" w:cs="Times New Roman"/>
                <w:sz w:val="24"/>
              </w:rPr>
              <w:t xml:space="preserve">359,8</w:t>
            </w:r>
          </w:p>
        </w:tc>
        <w:tc>
          <w:tcPr>
            <w:tcW w:w="3000" w:type="dxa"/>
          </w:tcPr>
          <w:p>
            <w:pPr>
              <w:pStyle w:val="a1"/>
              <w:jc w:val="left"/>
            </w:pPr>
            <w:r>
              <w:rPr>
                <w:rFonts w:ascii="Times New Roman" w:hAnsi="Times New Roman" w:cs="Times New Roman"/>
                <w:sz w:val="24"/>
              </w:rPr>
              <w:t xml:space="preserve">[334,7; 384,5]</w:t>
            </w:r>
          </w:p>
        </w:tc>
        <w:tc>
          <w:tcPr>
            <w:tcW w:w="3000" w:type="dxa"/>
          </w:tcPr>
          <w:p>
            <w:pPr>
              <w:pStyle w:val="a1"/>
              <w:jc w:val="left"/>
            </w:pPr>
            <w:r>
              <w:rPr>
                <w:rFonts w:ascii="Times New Roman" w:hAnsi="Times New Roman" w:cs="Times New Roman"/>
                <w:sz w:val="24"/>
              </w:rPr>
              <w:t xml:space="preserve">Лучший из обученных meta-learner</w:t>
            </w:r>
          </w:p>
        </w:tc>
      </w:tr>
      <w:tr>
        <w:tc>
          <w:tcPr>
            <w:tcW w:w="3000" w:type="dxa"/>
          </w:tcPr>
          <w:p>
            <w:pPr>
              <w:pStyle w:val="a1"/>
              <w:jc w:val="left"/>
            </w:pPr>
            <w:r>
              <w:rPr>
                <w:rFonts w:ascii="Times New Roman" w:hAnsi="Times New Roman" w:cs="Times New Roman"/>
                <w:sz w:val="24"/>
              </w:rPr>
              <w:t xml:space="preserve">S-Learner</w:t>
            </w:r>
          </w:p>
        </w:tc>
        <w:tc>
          <w:tcPr>
            <w:tcW w:w="3000" w:type="dxa"/>
          </w:tcPr>
          <w:p>
            <w:pPr>
              <w:pStyle w:val="a1"/>
              <w:jc w:val="left"/>
            </w:pPr>
            <w:r>
              <w:rPr>
                <w:rFonts w:ascii="Times New Roman" w:hAnsi="Times New Roman" w:cs="Times New Roman"/>
                <w:sz w:val="24"/>
              </w:rPr>
              <w:t xml:space="preserve">335,5</w:t>
            </w:r>
          </w:p>
        </w:tc>
        <w:tc>
          <w:tcPr>
            <w:tcW w:w="3000" w:type="dxa"/>
          </w:tcPr>
          <w:p>
            <w:pPr>
              <w:pStyle w:val="a1"/>
              <w:jc w:val="left"/>
            </w:pPr>
            <w:r>
              <w:rPr>
                <w:rFonts w:ascii="Times New Roman" w:hAnsi="Times New Roman" w:cs="Times New Roman"/>
                <w:sz w:val="24"/>
              </w:rPr>
              <w:t xml:space="preserve">[310,1; 358,7]</w:t>
            </w:r>
          </w:p>
        </w:tc>
        <w:tc>
          <w:tcPr>
            <w:tcW w:w="3000" w:type="dxa"/>
          </w:tcPr>
          <w:p>
            <w:pPr>
              <w:pStyle w:val="a1"/>
              <w:jc w:val="left"/>
            </w:pPr>
            <w:r>
              <w:rPr>
                <w:rFonts w:ascii="Times New Roman" w:hAnsi="Times New Roman" w:cs="Times New Roman"/>
                <w:sz w:val="24"/>
              </w:rPr>
              <w:t xml:space="preserve">Стабильный, но слабее T-Learner</w:t>
            </w:r>
          </w:p>
        </w:tc>
      </w:tr>
      <w:tr>
        <w:tc>
          <w:tcPr>
            <w:tcW w:w="3000" w:type="dxa"/>
          </w:tcPr>
          <w:p>
            <w:pPr>
              <w:pStyle w:val="a1"/>
              <w:jc w:val="left"/>
            </w:pPr>
            <w:r>
              <w:rPr>
                <w:rFonts w:ascii="Times New Roman" w:hAnsi="Times New Roman" w:cs="Times New Roman"/>
                <w:sz w:val="24"/>
              </w:rPr>
              <w:t xml:space="preserve">CatBoost-risk</w:t>
            </w:r>
          </w:p>
        </w:tc>
        <w:tc>
          <w:tcPr>
            <w:tcW w:w="3000" w:type="dxa"/>
          </w:tcPr>
          <w:p>
            <w:pPr>
              <w:pStyle w:val="a1"/>
              <w:jc w:val="left"/>
            </w:pPr>
            <w:r>
              <w:rPr>
                <w:rFonts w:ascii="Times New Roman" w:hAnsi="Times New Roman" w:cs="Times New Roman"/>
                <w:sz w:val="24"/>
              </w:rPr>
              <w:t xml:space="preserve">239,6</w:t>
            </w:r>
          </w:p>
        </w:tc>
        <w:tc>
          <w:tcPr>
            <w:tcW w:w="3000" w:type="dxa"/>
          </w:tcPr>
          <w:p>
            <w:pPr>
              <w:pStyle w:val="a1"/>
              <w:jc w:val="left"/>
            </w:pPr>
            <w:r>
              <w:rPr>
                <w:rFonts w:ascii="Times New Roman" w:hAnsi="Times New Roman" w:cs="Times New Roman"/>
                <w:sz w:val="24"/>
              </w:rPr>
              <w:t xml:space="preserve">[220,9; 261,2]</w:t>
            </w:r>
          </w:p>
        </w:tc>
        <w:tc>
          <w:tcPr>
            <w:tcW w:w="3000" w:type="dxa"/>
          </w:tcPr>
          <w:p>
            <w:pPr>
              <w:pStyle w:val="a1"/>
              <w:jc w:val="left"/>
            </w:pPr>
            <w:r>
              <w:rPr>
                <w:rFonts w:ascii="Times New Roman" w:hAnsi="Times New Roman" w:cs="Times New Roman"/>
                <w:sz w:val="24"/>
              </w:rPr>
              <w:t xml:space="preserve">Сильная риск-модель, но не модель эффекта</w:t>
            </w:r>
          </w:p>
        </w:tc>
      </w:tr>
      <w:tr>
        <w:tc>
          <w:tcPr>
            <w:tcW w:w="3000" w:type="dxa"/>
          </w:tcPr>
          <w:p>
            <w:pPr>
              <w:pStyle w:val="a1"/>
              <w:jc w:val="left"/>
            </w:pPr>
            <w:r>
              <w:rPr>
                <w:rFonts w:ascii="Times New Roman" w:hAnsi="Times New Roman" w:cs="Times New Roman"/>
                <w:sz w:val="24"/>
              </w:rPr>
              <w:t xml:space="preserve">LogReg-risk</w:t>
            </w:r>
          </w:p>
        </w:tc>
        <w:tc>
          <w:tcPr>
            <w:tcW w:w="3000" w:type="dxa"/>
          </w:tcPr>
          <w:p>
            <w:pPr>
              <w:pStyle w:val="a1"/>
              <w:jc w:val="left"/>
            </w:pPr>
            <w:r>
              <w:rPr>
                <w:rFonts w:ascii="Times New Roman" w:hAnsi="Times New Roman" w:cs="Times New Roman"/>
                <w:sz w:val="24"/>
              </w:rPr>
              <w:t xml:space="preserve">236,2</w:t>
            </w:r>
          </w:p>
        </w:tc>
        <w:tc>
          <w:tcPr>
            <w:tcW w:w="3000" w:type="dxa"/>
          </w:tcPr>
          <w:p>
            <w:pPr>
              <w:pStyle w:val="a1"/>
              <w:jc w:val="left"/>
            </w:pPr>
            <w:r>
              <w:rPr>
                <w:rFonts w:ascii="Times New Roman" w:hAnsi="Times New Roman" w:cs="Times New Roman"/>
                <w:sz w:val="24"/>
              </w:rPr>
              <w:t xml:space="preserve">[217,2; 257,0]</w:t>
            </w:r>
          </w:p>
        </w:tc>
        <w:tc>
          <w:tcPr>
            <w:tcW w:w="3000" w:type="dxa"/>
          </w:tcPr>
          <w:p>
            <w:pPr>
              <w:pStyle w:val="a1"/>
              <w:jc w:val="left"/>
            </w:pPr>
            <w:r>
              <w:rPr>
                <w:rFonts w:ascii="Times New Roman" w:hAnsi="Times New Roman" w:cs="Times New Roman"/>
                <w:sz w:val="24"/>
              </w:rPr>
              <w:t xml:space="preserve">Интерпретируемый baseline</w:t>
            </w:r>
          </w:p>
        </w:tc>
      </w:tr>
      <w:tr>
        <w:tc>
          <w:tcPr>
            <w:tcW w:w="3000" w:type="dxa"/>
          </w:tcPr>
          <w:p>
            <w:pPr>
              <w:pStyle w:val="a1"/>
              <w:jc w:val="left"/>
            </w:pPr>
            <w:r>
              <w:rPr>
                <w:rFonts w:ascii="Times New Roman" w:hAnsi="Times New Roman" w:cs="Times New Roman"/>
                <w:sz w:val="24"/>
              </w:rPr>
              <w:t xml:space="preserve">X-Learner</w:t>
            </w:r>
          </w:p>
        </w:tc>
        <w:tc>
          <w:tcPr>
            <w:tcW w:w="3000" w:type="dxa"/>
          </w:tcPr>
          <w:p>
            <w:pPr>
              <w:pStyle w:val="a1"/>
              <w:jc w:val="left"/>
            </w:pPr>
            <w:r>
              <w:rPr>
                <w:rFonts w:ascii="Times New Roman" w:hAnsi="Times New Roman" w:cs="Times New Roman"/>
                <w:sz w:val="24"/>
              </w:rPr>
              <w:t xml:space="preserve">153,7</w:t>
            </w:r>
          </w:p>
        </w:tc>
        <w:tc>
          <w:tcPr>
            <w:tcW w:w="3000" w:type="dxa"/>
          </w:tcPr>
          <w:p>
            <w:pPr>
              <w:pStyle w:val="a1"/>
              <w:jc w:val="left"/>
            </w:pPr>
            <w:r>
              <w:rPr>
                <w:rFonts w:ascii="Times New Roman" w:hAnsi="Times New Roman" w:cs="Times New Roman"/>
                <w:sz w:val="24"/>
              </w:rPr>
              <w:t xml:space="preserve">[131,4; 172,1]</w:t>
            </w:r>
          </w:p>
        </w:tc>
        <w:tc>
          <w:tcPr>
            <w:tcW w:w="3000" w:type="dxa"/>
          </w:tcPr>
          <w:p>
            <w:pPr>
              <w:pStyle w:val="a1"/>
              <w:jc w:val="left"/>
            </w:pPr>
            <w:r>
              <w:rPr>
                <w:rFonts w:ascii="Times New Roman" w:hAnsi="Times New Roman" w:cs="Times New Roman"/>
                <w:sz w:val="24"/>
              </w:rPr>
              <w:t xml:space="preserve">Неустойчив в текущей постановке</w:t>
            </w:r>
          </w:p>
        </w:tc>
      </w:tr>
      <w:tr>
        <w:tc>
          <w:tcPr>
            <w:tcW w:w="3000" w:type="dxa"/>
          </w:tcPr>
          <w:p>
            <w:pPr>
              <w:pStyle w:val="a1"/>
              <w:jc w:val="left"/>
            </w:pPr>
            <w:r>
              <w:rPr>
                <w:rFonts w:ascii="Times New Roman" w:hAnsi="Times New Roman" w:cs="Times New Roman"/>
                <w:sz w:val="24"/>
              </w:rPr>
              <w:t xml:space="preserve">DR-Learner</w:t>
            </w:r>
          </w:p>
        </w:tc>
        <w:tc>
          <w:tcPr>
            <w:tcW w:w="3000" w:type="dxa"/>
          </w:tcPr>
          <w:p>
            <w:pPr>
              <w:pStyle w:val="a1"/>
              <w:jc w:val="left"/>
            </w:pPr>
            <w:r>
              <w:rPr>
                <w:rFonts w:ascii="Times New Roman" w:hAnsi="Times New Roman" w:cs="Times New Roman"/>
                <w:sz w:val="24"/>
              </w:rPr>
              <w:t xml:space="preserve">141,5</w:t>
            </w:r>
          </w:p>
        </w:tc>
        <w:tc>
          <w:tcPr>
            <w:tcW w:w="3000" w:type="dxa"/>
          </w:tcPr>
          <w:p>
            <w:pPr>
              <w:pStyle w:val="a1"/>
              <w:jc w:val="left"/>
            </w:pPr>
            <w:r>
              <w:rPr>
                <w:rFonts w:ascii="Times New Roman" w:hAnsi="Times New Roman" w:cs="Times New Roman"/>
                <w:sz w:val="24"/>
              </w:rPr>
              <w:t xml:space="preserve">[121,8; 162,5]</w:t>
            </w:r>
          </w:p>
        </w:tc>
        <w:tc>
          <w:tcPr>
            <w:tcW w:w="3000" w:type="dxa"/>
          </w:tcPr>
          <w:p>
            <w:pPr>
              <w:pStyle w:val="a1"/>
              <w:jc w:val="left"/>
            </w:pPr>
            <w:r>
              <w:rPr>
                <w:rFonts w:ascii="Times New Roman" w:hAnsi="Times New Roman" w:cs="Times New Roman"/>
                <w:sz w:val="24"/>
              </w:rPr>
              <w:t xml:space="preserve">Чувствителен к качеству вспомогательных моделей</w:t>
            </w:r>
          </w:p>
        </w:tc>
      </w:tr>
    </w:tbl>
    <w:p>
      <w:pPr>
        <w:pStyle w:val="a1"/>
        <w:jc w:val="both"/>
      </w:pPr>
      <w:r>
        <w:rPr>
          <w:rFonts w:ascii="Times New Roman" w:hAnsi="Times New Roman" w:cs="Times New Roman"/>
          <w:sz w:val="28"/>
        </w:rPr>
        <w:t xml:space="preserve">Проверка по известному TRUE_UPLIFT показывает, что S-Learner и T-Learner имеют положительную ранговую связь с истинным эффектом: коэффициенты Спирмена около 0,20. Это не идеальное восстановление эффекта, но статистически значимое направление. X-Learner и DR-Learner в текущей конфигурации близки к шуму с точки зрения ранжирования истинного эффекта.</w:t>
      </w:r>
    </w:p>
    <w:p>
      <w:pPr>
        <w:pStyle w:val="a1"/>
        <w:jc w:val="both"/>
      </w:pPr>
      <w:r>
        <w:rPr>
          <w:rFonts w:ascii="Times New Roman" w:hAnsi="Times New Roman" w:cs="Times New Roman"/>
          <w:sz w:val="28"/>
        </w:rPr>
        <w:t xml:space="preserve">Разделение logged-policy oracle и counterfactual channel oracle меняет бизнес-интерпретацию. Текущая политика реализует только около 14-15% потенциального эффекта counterfactual oracle. Причина в том, что большинство клиентов не получает коммуникацию, а каналы назначаются по жесткой риск-ориентированной логике. Однако counterfactual oracle не должен трактоваться как рекомендация контактировать почти всех: он не учитывает организационные ограничения, риски клиентского опыта и необходимость реальной проверки альтернативных каналов.</w:t>
      </w:r>
    </w:p>
    <w:p>
      <w:pPr>
        <w:pStyle w:val="21"/>
        <w:jc w:val="left"/>
      </w:pPr>
      <w:r>
        <w:rPr>
          <w:rFonts w:ascii="Times New Roman" w:hAnsi="Times New Roman" w:cs="Times New Roman"/>
          <w:sz w:val="28"/>
          <w:b/>
        </w:rPr>
        <w:t xml:space="preserve">4.3. Когда риск-скоринг имитирует uplift: сценарный анализ</w:t>
      </w:r>
    </w:p>
    <w:p>
      <w:pPr>
        <w:pStyle w:val="a1"/>
        <w:jc w:val="both"/>
      </w:pPr>
      <w:r>
        <w:rPr>
          <w:rFonts w:ascii="Times New Roman" w:hAnsi="Times New Roman" w:cs="Times New Roman"/>
          <w:sz w:val="28"/>
        </w:rPr>
        <w:t xml:space="preserve">Сценарный анализ является центральным экспериментом работы, потому что он отвечает на вопрос о границах применимости uplift-подхода. В базовом синтетическом механизме эффект коммуникации во многом согласован с кредитным риском. Это реалистично для части банковских процессов, но одновременно создает благоприятные условия для risk-based стратегии.</w:t>
      </w:r>
    </w:p>
    <w:p>
      <w:pPr>
        <w:pStyle w:val="a1"/>
        <w:jc w:val="both"/>
      </w:pPr>
      <w:r>
        <w:rPr>
          <w:rFonts w:ascii="Times New Roman" w:hAnsi="Times New Roman" w:cs="Times New Roman"/>
          <w:sz w:val="28"/>
        </w:rPr>
        <w:t xml:space="preserve">В aligned-сценарии logged-policy oracle имеет AUUC около 423,8, BASE_PD - около 371,9, S-Learner - около 340,9, T-Learner - около 365,1, CatBoost-risk - около 251,4. Здесь BASE_PD и T-Learner оказываются близки, потому что высокий риск часто связан с сильным эффектом коммуникации. Это показывает, что риск-скоринг может быть конкурентным, если структура данных ему благоприятствует.</w:t>
      </w:r>
    </w:p>
    <w:p>
      <w:pPr>
        <w:pStyle w:val="a1"/>
        <w:jc w:val="both"/>
      </w:pPr>
      <w:r>
        <w:rPr>
          <w:rFonts w:ascii="Times New Roman" w:hAnsi="Times New Roman" w:cs="Times New Roman"/>
          <w:sz w:val="28"/>
        </w:rPr>
        <w:t xml:space="preserve">В weakly aligned-сценарии связь риска и эффекта ослабляется, но полностью не исчезает. T-Learner сохраняет высокий результат около 369,6 AUUC, S-Learner - около 336,4, BASE_PD - около 375,8. В orthogonal-сценарии эффект перемешивается внутри каналов, и T-Learner достигает около 374,4 AUUC, S-Learner - около 340,0, BASE_PD - около 378,7. В mid-risk сценарии максимальный эффект смещается к клиентам среднего риска; T-Learner сохраняет около 380,1 AUUC, тогда как S-Learner падает до 294,0.</w:t>
      </w:r>
    </w:p>
    <w:p>
      <w:pPr>
        <w:pStyle w:val="a1"/>
        <w:jc w:val="both"/>
      </w:pPr>
      <w:r>
        <w:rPr>
          <w:rFonts w:ascii="Times New Roman" w:hAnsi="Times New Roman" w:cs="Times New Roman"/>
          <w:sz w:val="28"/>
        </w:rPr>
        <w:t xml:space="preserve">На первый взгляд BASE_PD остается сильным во всех сценариях. Это требует аккуратной интерпретации: сценарии меняют logged-policy эффект, но сохраняют часть структуры исторической политики и распределение каналов. Поэтому BASE_PD остается диагностически сильным ориентиром, особенно там, где сама политика назначения каналов построена по риску. Этот результат полезен для работы: он показывает, что в финтехе нельзя ограничиваться утверждением о превосходстве uplift. Нужно анализировать, насколько данные и политика уже связывают риск с эффектом.</w:t>
      </w:r>
    </w:p>
    <w:p>
      <w:pPr>
        <w:pStyle w:val="a1"/>
        <w:jc w:val="center"/>
      </w:pPr>
      <w:r>
        <w:rPr>
          <w:rFonts w:ascii="Times New Roman" w:hAnsi="Times New Roman" w:cs="Times New Roman"/>
          <w:sz w:val="28"/>
          <w:b/>
        </w:rPr>
        <w:t xml:space="preserve">Таблица 4.3 - AUUC по сценариям связи риска и эффекта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Модель</w:t>
            </w:r>
          </w:p>
        </w:tc>
        <w:tc>
          <w:tcPr>
            <w:tcW w:w="3000" w:type="dxa"/>
          </w:tcPr>
          <w:p>
            <w:pPr>
              <w:pStyle w:val="a1"/>
              <w:jc w:val="left"/>
            </w:pPr>
            <w:r>
              <w:rPr>
                <w:rFonts w:ascii="Times New Roman" w:hAnsi="Times New Roman" w:cs="Times New Roman"/>
                <w:sz w:val="24"/>
                <w:b/>
              </w:rPr>
              <w:t xml:space="preserve">Aligned</w:t>
            </w:r>
          </w:p>
        </w:tc>
        <w:tc>
          <w:tcPr>
            <w:tcW w:w="3000" w:type="dxa"/>
          </w:tcPr>
          <w:p>
            <w:pPr>
              <w:pStyle w:val="a1"/>
              <w:jc w:val="left"/>
            </w:pPr>
            <w:r>
              <w:rPr>
                <w:rFonts w:ascii="Times New Roman" w:hAnsi="Times New Roman" w:cs="Times New Roman"/>
                <w:sz w:val="24"/>
                <w:b/>
              </w:rPr>
              <w:t xml:space="preserve">Weakly aligned</w:t>
            </w:r>
          </w:p>
        </w:tc>
        <w:tc>
          <w:tcPr>
            <w:tcW w:w="3000" w:type="dxa"/>
          </w:tcPr>
          <w:p>
            <w:pPr>
              <w:pStyle w:val="a1"/>
              <w:jc w:val="left"/>
            </w:pPr>
            <w:r>
              <w:rPr>
                <w:rFonts w:ascii="Times New Roman" w:hAnsi="Times New Roman" w:cs="Times New Roman"/>
                <w:sz w:val="24"/>
                <w:b/>
              </w:rPr>
              <w:t xml:space="preserve">Orthogonal</w:t>
            </w:r>
          </w:p>
        </w:tc>
        <w:tc>
          <w:tcPr>
            <w:tcW w:w="3000" w:type="dxa"/>
          </w:tcPr>
          <w:p>
            <w:pPr>
              <w:pStyle w:val="a1"/>
              <w:jc w:val="left"/>
            </w:pPr>
            <w:r>
              <w:rPr>
                <w:rFonts w:ascii="Times New Roman" w:hAnsi="Times New Roman" w:cs="Times New Roman"/>
                <w:sz w:val="24"/>
                <w:b/>
              </w:rPr>
              <w:t xml:space="preserve">Mid-risk</w:t>
            </w:r>
          </w:p>
        </w:tc>
      </w:tr>
      <w:tr>
        <w:tc>
          <w:tcPr>
            <w:tcW w:w="3000" w:type="dxa"/>
          </w:tcPr>
          <w:p>
            <w:pPr>
              <w:pStyle w:val="a1"/>
              <w:jc w:val="left"/>
            </w:pPr>
            <w:r>
              <w:rPr>
                <w:rFonts w:ascii="Times New Roman" w:hAnsi="Times New Roman" w:cs="Times New Roman"/>
                <w:sz w:val="24"/>
              </w:rPr>
              <w:t xml:space="preserve">Logged-policy oracle</w:t>
            </w:r>
          </w:p>
        </w:tc>
        <w:tc>
          <w:tcPr>
            <w:tcW w:w="3000" w:type="dxa"/>
          </w:tcPr>
          <w:p>
            <w:pPr>
              <w:pStyle w:val="a1"/>
              <w:jc w:val="left"/>
            </w:pPr>
            <w:r>
              <w:rPr>
                <w:rFonts w:ascii="Times New Roman" w:hAnsi="Times New Roman" w:cs="Times New Roman"/>
                <w:sz w:val="24"/>
              </w:rPr>
              <w:t xml:space="preserve">423,8</w:t>
            </w:r>
          </w:p>
        </w:tc>
        <w:tc>
          <w:tcPr>
            <w:tcW w:w="3000" w:type="dxa"/>
          </w:tcPr>
          <w:p>
            <w:pPr>
              <w:pStyle w:val="a1"/>
              <w:jc w:val="left"/>
            </w:pPr>
            <w:r>
              <w:rPr>
                <w:rFonts w:ascii="Times New Roman" w:hAnsi="Times New Roman" w:cs="Times New Roman"/>
                <w:sz w:val="24"/>
              </w:rPr>
              <w:t xml:space="preserve">441,2</w:t>
            </w:r>
          </w:p>
        </w:tc>
        <w:tc>
          <w:tcPr>
            <w:tcW w:w="3000" w:type="dxa"/>
          </w:tcPr>
          <w:p>
            <w:pPr>
              <w:pStyle w:val="a1"/>
              <w:jc w:val="left"/>
            </w:pPr>
            <w:r>
              <w:rPr>
                <w:rFonts w:ascii="Times New Roman" w:hAnsi="Times New Roman" w:cs="Times New Roman"/>
                <w:sz w:val="24"/>
              </w:rPr>
              <w:t xml:space="preserve">429,2</w:t>
            </w:r>
          </w:p>
        </w:tc>
        <w:tc>
          <w:tcPr>
            <w:tcW w:w="3000" w:type="dxa"/>
          </w:tcPr>
          <w:p>
            <w:pPr>
              <w:pStyle w:val="a1"/>
              <w:jc w:val="left"/>
            </w:pPr>
            <w:r>
              <w:rPr>
                <w:rFonts w:ascii="Times New Roman" w:hAnsi="Times New Roman" w:cs="Times New Roman"/>
                <w:sz w:val="24"/>
              </w:rPr>
              <w:t xml:space="preserve">442,2</w:t>
            </w:r>
          </w:p>
        </w:tc>
      </w:tr>
      <w:tr>
        <w:tc>
          <w:tcPr>
            <w:tcW w:w="3000" w:type="dxa"/>
          </w:tcPr>
          <w:p>
            <w:pPr>
              <w:pStyle w:val="a1"/>
              <w:jc w:val="left"/>
            </w:pPr>
            <w:r>
              <w:rPr>
                <w:rFonts w:ascii="Times New Roman" w:hAnsi="Times New Roman" w:cs="Times New Roman"/>
                <w:sz w:val="24"/>
              </w:rPr>
              <w:t xml:space="preserve">BASE_PD</w:t>
            </w:r>
          </w:p>
        </w:tc>
        <w:tc>
          <w:tcPr>
            <w:tcW w:w="3000" w:type="dxa"/>
          </w:tcPr>
          <w:p>
            <w:pPr>
              <w:pStyle w:val="a1"/>
              <w:jc w:val="left"/>
            </w:pPr>
            <w:r>
              <w:rPr>
                <w:rFonts w:ascii="Times New Roman" w:hAnsi="Times New Roman" w:cs="Times New Roman"/>
                <w:sz w:val="24"/>
              </w:rPr>
              <w:t xml:space="preserve">371,9</w:t>
            </w:r>
          </w:p>
        </w:tc>
        <w:tc>
          <w:tcPr>
            <w:tcW w:w="3000" w:type="dxa"/>
          </w:tcPr>
          <w:p>
            <w:pPr>
              <w:pStyle w:val="a1"/>
              <w:jc w:val="left"/>
            </w:pPr>
            <w:r>
              <w:rPr>
                <w:rFonts w:ascii="Times New Roman" w:hAnsi="Times New Roman" w:cs="Times New Roman"/>
                <w:sz w:val="24"/>
              </w:rPr>
              <w:t xml:space="preserve">375,8</w:t>
            </w:r>
          </w:p>
        </w:tc>
        <w:tc>
          <w:tcPr>
            <w:tcW w:w="3000" w:type="dxa"/>
          </w:tcPr>
          <w:p>
            <w:pPr>
              <w:pStyle w:val="a1"/>
              <w:jc w:val="left"/>
            </w:pPr>
            <w:r>
              <w:rPr>
                <w:rFonts w:ascii="Times New Roman" w:hAnsi="Times New Roman" w:cs="Times New Roman"/>
                <w:sz w:val="24"/>
              </w:rPr>
              <w:t xml:space="preserve">378,7</w:t>
            </w:r>
          </w:p>
        </w:tc>
        <w:tc>
          <w:tcPr>
            <w:tcW w:w="3000" w:type="dxa"/>
          </w:tcPr>
          <w:p>
            <w:pPr>
              <w:pStyle w:val="a1"/>
              <w:jc w:val="left"/>
            </w:pPr>
            <w:r>
              <w:rPr>
                <w:rFonts w:ascii="Times New Roman" w:hAnsi="Times New Roman" w:cs="Times New Roman"/>
                <w:sz w:val="24"/>
              </w:rPr>
              <w:t xml:space="preserve">385,3</w:t>
            </w:r>
          </w:p>
        </w:tc>
      </w:tr>
      <w:tr>
        <w:tc>
          <w:tcPr>
            <w:tcW w:w="3000" w:type="dxa"/>
          </w:tcPr>
          <w:p>
            <w:pPr>
              <w:pStyle w:val="a1"/>
              <w:jc w:val="left"/>
            </w:pPr>
            <w:r>
              <w:rPr>
                <w:rFonts w:ascii="Times New Roman" w:hAnsi="Times New Roman" w:cs="Times New Roman"/>
                <w:sz w:val="24"/>
              </w:rPr>
              <w:t xml:space="preserve">T-Learner</w:t>
            </w:r>
          </w:p>
        </w:tc>
        <w:tc>
          <w:tcPr>
            <w:tcW w:w="3000" w:type="dxa"/>
          </w:tcPr>
          <w:p>
            <w:pPr>
              <w:pStyle w:val="a1"/>
              <w:jc w:val="left"/>
            </w:pPr>
            <w:r>
              <w:rPr>
                <w:rFonts w:ascii="Times New Roman" w:hAnsi="Times New Roman" w:cs="Times New Roman"/>
                <w:sz w:val="24"/>
              </w:rPr>
              <w:t xml:space="preserve">365,1</w:t>
            </w:r>
          </w:p>
        </w:tc>
        <w:tc>
          <w:tcPr>
            <w:tcW w:w="3000" w:type="dxa"/>
          </w:tcPr>
          <w:p>
            <w:pPr>
              <w:pStyle w:val="a1"/>
              <w:jc w:val="left"/>
            </w:pPr>
            <w:r>
              <w:rPr>
                <w:rFonts w:ascii="Times New Roman" w:hAnsi="Times New Roman" w:cs="Times New Roman"/>
                <w:sz w:val="24"/>
              </w:rPr>
              <w:t xml:space="preserve">369,6</w:t>
            </w:r>
          </w:p>
        </w:tc>
        <w:tc>
          <w:tcPr>
            <w:tcW w:w="3000" w:type="dxa"/>
          </w:tcPr>
          <w:p>
            <w:pPr>
              <w:pStyle w:val="a1"/>
              <w:jc w:val="left"/>
            </w:pPr>
            <w:r>
              <w:rPr>
                <w:rFonts w:ascii="Times New Roman" w:hAnsi="Times New Roman" w:cs="Times New Roman"/>
                <w:sz w:val="24"/>
              </w:rPr>
              <w:t xml:space="preserve">374,4</w:t>
            </w:r>
          </w:p>
        </w:tc>
        <w:tc>
          <w:tcPr>
            <w:tcW w:w="3000" w:type="dxa"/>
          </w:tcPr>
          <w:p>
            <w:pPr>
              <w:pStyle w:val="a1"/>
              <w:jc w:val="left"/>
            </w:pPr>
            <w:r>
              <w:rPr>
                <w:rFonts w:ascii="Times New Roman" w:hAnsi="Times New Roman" w:cs="Times New Roman"/>
                <w:sz w:val="24"/>
              </w:rPr>
              <w:t xml:space="preserve">380,1</w:t>
            </w:r>
          </w:p>
        </w:tc>
      </w:tr>
      <w:tr>
        <w:tc>
          <w:tcPr>
            <w:tcW w:w="3000" w:type="dxa"/>
          </w:tcPr>
          <w:p>
            <w:pPr>
              <w:pStyle w:val="a1"/>
              <w:jc w:val="left"/>
            </w:pPr>
            <w:r>
              <w:rPr>
                <w:rFonts w:ascii="Times New Roman" w:hAnsi="Times New Roman" w:cs="Times New Roman"/>
                <w:sz w:val="24"/>
              </w:rPr>
              <w:t xml:space="preserve">S-Learner</w:t>
            </w:r>
          </w:p>
        </w:tc>
        <w:tc>
          <w:tcPr>
            <w:tcW w:w="3000" w:type="dxa"/>
          </w:tcPr>
          <w:p>
            <w:pPr>
              <w:pStyle w:val="a1"/>
              <w:jc w:val="left"/>
            </w:pPr>
            <w:r>
              <w:rPr>
                <w:rFonts w:ascii="Times New Roman" w:hAnsi="Times New Roman" w:cs="Times New Roman"/>
                <w:sz w:val="24"/>
              </w:rPr>
              <w:t xml:space="preserve">340,9</w:t>
            </w:r>
          </w:p>
        </w:tc>
        <w:tc>
          <w:tcPr>
            <w:tcW w:w="3000" w:type="dxa"/>
          </w:tcPr>
          <w:p>
            <w:pPr>
              <w:pStyle w:val="a1"/>
              <w:jc w:val="left"/>
            </w:pPr>
            <w:r>
              <w:rPr>
                <w:rFonts w:ascii="Times New Roman" w:hAnsi="Times New Roman" w:cs="Times New Roman"/>
                <w:sz w:val="24"/>
              </w:rPr>
              <w:t xml:space="preserve">336,4</w:t>
            </w:r>
          </w:p>
        </w:tc>
        <w:tc>
          <w:tcPr>
            <w:tcW w:w="3000" w:type="dxa"/>
          </w:tcPr>
          <w:p>
            <w:pPr>
              <w:pStyle w:val="a1"/>
              <w:jc w:val="left"/>
            </w:pPr>
            <w:r>
              <w:rPr>
                <w:rFonts w:ascii="Times New Roman" w:hAnsi="Times New Roman" w:cs="Times New Roman"/>
                <w:sz w:val="24"/>
              </w:rPr>
              <w:t xml:space="preserve">340,0</w:t>
            </w:r>
          </w:p>
        </w:tc>
        <w:tc>
          <w:tcPr>
            <w:tcW w:w="3000" w:type="dxa"/>
          </w:tcPr>
          <w:p>
            <w:pPr>
              <w:pStyle w:val="a1"/>
              <w:jc w:val="left"/>
            </w:pPr>
            <w:r>
              <w:rPr>
                <w:rFonts w:ascii="Times New Roman" w:hAnsi="Times New Roman" w:cs="Times New Roman"/>
                <w:sz w:val="24"/>
              </w:rPr>
              <w:t xml:space="preserve">294,0</w:t>
            </w:r>
          </w:p>
        </w:tc>
      </w:tr>
      <w:tr>
        <w:tc>
          <w:tcPr>
            <w:tcW w:w="3000" w:type="dxa"/>
          </w:tcPr>
          <w:p>
            <w:pPr>
              <w:pStyle w:val="a1"/>
              <w:jc w:val="left"/>
            </w:pPr>
            <w:r>
              <w:rPr>
                <w:rFonts w:ascii="Times New Roman" w:hAnsi="Times New Roman" w:cs="Times New Roman"/>
                <w:sz w:val="24"/>
              </w:rPr>
              <w:t xml:space="preserve">CatBoost-risk</w:t>
            </w:r>
          </w:p>
        </w:tc>
        <w:tc>
          <w:tcPr>
            <w:tcW w:w="3000" w:type="dxa"/>
          </w:tcPr>
          <w:p>
            <w:pPr>
              <w:pStyle w:val="a1"/>
              <w:jc w:val="left"/>
            </w:pPr>
            <w:r>
              <w:rPr>
                <w:rFonts w:ascii="Times New Roman" w:hAnsi="Times New Roman" w:cs="Times New Roman"/>
                <w:sz w:val="24"/>
              </w:rPr>
              <w:t xml:space="preserve">251,4</w:t>
            </w:r>
          </w:p>
        </w:tc>
        <w:tc>
          <w:tcPr>
            <w:tcW w:w="3000" w:type="dxa"/>
          </w:tcPr>
          <w:p>
            <w:pPr>
              <w:pStyle w:val="a1"/>
              <w:jc w:val="left"/>
            </w:pPr>
            <w:r>
              <w:rPr>
                <w:rFonts w:ascii="Times New Roman" w:hAnsi="Times New Roman" w:cs="Times New Roman"/>
                <w:sz w:val="24"/>
              </w:rPr>
              <w:t xml:space="preserve">251,7</w:t>
            </w:r>
          </w:p>
        </w:tc>
        <w:tc>
          <w:tcPr>
            <w:tcW w:w="3000" w:type="dxa"/>
          </w:tcPr>
          <w:p>
            <w:pPr>
              <w:pStyle w:val="a1"/>
              <w:jc w:val="left"/>
            </w:pPr>
            <w:r>
              <w:rPr>
                <w:rFonts w:ascii="Times New Roman" w:hAnsi="Times New Roman" w:cs="Times New Roman"/>
                <w:sz w:val="24"/>
              </w:rPr>
              <w:t xml:space="preserve">254,2</w:t>
            </w:r>
          </w:p>
        </w:tc>
        <w:tc>
          <w:tcPr>
            <w:tcW w:w="3000" w:type="dxa"/>
          </w:tcPr>
          <w:p>
            <w:pPr>
              <w:pStyle w:val="a1"/>
              <w:jc w:val="left"/>
            </w:pPr>
            <w:r>
              <w:rPr>
                <w:rFonts w:ascii="Times New Roman" w:hAnsi="Times New Roman" w:cs="Times New Roman"/>
                <w:sz w:val="24"/>
              </w:rPr>
              <w:t xml:space="preserve">254,5</w:t>
            </w:r>
          </w:p>
        </w:tc>
      </w:tr>
    </w:tbl>
    <w:p>
      <w:pPr>
        <w:pStyle w:val="a1"/>
        <w:jc w:val="both"/>
      </w:pPr>
      <w:r>
        <w:rPr>
          <w:rFonts w:ascii="Times New Roman" w:hAnsi="Times New Roman" w:cs="Times New Roman"/>
          <w:sz w:val="28"/>
        </w:rPr>
        <w:t xml:space="preserve">Главный вывод сценарного анализа состоит в том, что риск-ориентированная стратегия может быть сильной не потому, что она оценивает эффект, а потому, что данные и историческая политика создают связь риска с эффектом. Поэтому перед внедрением uplift-модели банк должен сначала ответить на диагностический вопрос: где находится изменяемый сегмент клиентов. Если он совпадает с верхом риск-рейтинга, риск-скоринг может быть достаточным baseline. Если эффект находится у клиентов среднего риска или зависит от факторов, не совпадающих с риском, причинная постановка становится более обоснованной.</w:t>
      </w:r>
    </w:p>
    <w:p>
      <w:pPr>
        <w:pStyle w:val="a1"/>
        <w:jc w:val="both"/>
      </w:pPr>
      <w:r>
        <w:rPr>
          <w:rFonts w:ascii="Times New Roman" w:hAnsi="Times New Roman" w:cs="Times New Roman"/>
          <w:sz w:val="28"/>
        </w:rPr>
        <w:t xml:space="preserve">Learning curve анализ дополняет этот вывод. При малом объеме данных multi-treatment uplift нестабилен, особенно для каналов с малой долей наблюдений. Если SMS составляет около 1,7% выборки, то при 10 000 клиентов в обучении будет всего около 170 SMS-наблюдений. Для T-Learner, обучающего отдельные модели по каналам, это серьезное ограничение. Следовательно, практическое внедрение требует не только алгоритма, но и достаточного объема зрелых данных по каждому каналу.</w:t>
      </w:r>
    </w:p>
    <w:p>
      <w:pPr>
        <w:pStyle w:val="21"/>
        <w:jc w:val="left"/>
      </w:pPr>
      <w:r>
        <w:rPr>
          <w:rFonts w:ascii="Times New Roman" w:hAnsi="Times New Roman" w:cs="Times New Roman"/>
          <w:sz w:val="28"/>
          <w:b/>
        </w:rPr>
        <w:t xml:space="preserve">4.4. Практический эффект, ограничения и дорожная карта внедрения</w:t>
      </w:r>
    </w:p>
    <w:p>
      <w:pPr>
        <w:pStyle w:val="a1"/>
        <w:jc w:val="both"/>
      </w:pPr>
      <w:r>
        <w:rPr>
          <w:rFonts w:ascii="Times New Roman" w:hAnsi="Times New Roman" w:cs="Times New Roman"/>
          <w:sz w:val="28"/>
        </w:rPr>
        <w:t xml:space="preserve">Бизнес-оценка переводит модельный эффект в язык управленческого решения. В текущей экономической постановке SMS стоит 5 рублей, автоматический звонок - 30 рублей, звонок оператора - 200 рублей, средняя сумма кредита принимается равной 600 000 рублей, LGD - 40%, а ценность предотвращенного дефолта - 240 000 рублей. Эти параметры являются сценарными и должны уточняться для конкретной организации.</w:t>
      </w:r>
    </w:p>
    <w:p>
      <w:pPr>
        <w:pStyle w:val="a1"/>
        <w:jc w:val="both"/>
      </w:pPr>
      <w:r>
        <w:rPr>
          <w:rFonts w:ascii="Times New Roman" w:hAnsi="Times New Roman" w:cs="Times New Roman"/>
          <w:sz w:val="28"/>
        </w:rPr>
        <w:t xml:space="preserve">На тестовой выборке текущая историческая политика дает около 35,2 млн рублей чистого эффекта, тогда как counterfactual channel oracle показывает около 243,9 млн рублей чистого потенциала. На test+OOT текущая политика дает около 72,0 млн рублей, а counterfactual oracle - около 488,5 млн рублей. Эти числа не означают, что банк может немедленно получить весь оракульный эффект. Они показывают масштаб разрыва между текущей политикой и идеализированной персонализацией каналов.</w:t>
      </w:r>
    </w:p>
    <w:p>
      <w:pPr>
        <w:pStyle w:val="a1"/>
        <w:jc w:val="both"/>
      </w:pPr>
      <w:r>
        <w:rPr>
          <w:rFonts w:ascii="Times New Roman" w:hAnsi="Times New Roman" w:cs="Times New Roman"/>
          <w:sz w:val="28"/>
        </w:rPr>
        <w:t xml:space="preserve">Практический вывод состоит в том, что внедрение uplift-подхода должно происходить поэтапно. На первом этапе организация описывает карту воздействий и исходов: какие действия можно выбирать, когда наблюдается результат, какие каналы имеют стоимость и ограничения. На втором этапе формируется контрольная группа и минимальная exploration-доля для альтернативных каналов. На третьем этапе проводится диагностика overlap, SMD и объема по каналам. На четвертом этапе обучаются baseline и uplift-модели. На пятом этапе результат проверяется через доверительные интервалы, business uplift и пилотное внедрение с ограниченным охватом.</w:t>
      </w:r>
    </w:p>
    <w:p>
      <w:pPr>
        <w:pStyle w:val="a1"/>
        <w:jc w:val="both"/>
      </w:pPr>
      <w:r>
        <w:rPr>
          <w:rFonts w:ascii="Times New Roman" w:hAnsi="Times New Roman" w:cs="Times New Roman"/>
          <w:sz w:val="28"/>
        </w:rPr>
        <w:t xml:space="preserve">Для внедрения особенно важна роль holdout-группы. Она должна формироваться случайно внутри сопоставимых сегментов, а не состоять только из низкорисковых клиентов. Иначе контроль не поможет ответить на вопрос о высокорисковых заемщиках. Exploration-доля также должна быть управляемой: банк не обязан хаотично менять политику, но может в небольшой доле случаев назначать альтернативный канал для накопления данных.</w:t>
      </w:r>
    </w:p>
    <w:p>
      <w:pPr>
        <w:pStyle w:val="a1"/>
        <w:jc w:val="both"/>
      </w:pPr>
      <w:r>
        <w:rPr>
          <w:rFonts w:ascii="Times New Roman" w:hAnsi="Times New Roman" w:cs="Times New Roman"/>
          <w:sz w:val="28"/>
        </w:rPr>
        <w:t xml:space="preserve">Ограничения работы связаны с синтетическим характером коммуникационного слоя. Реальная банковская реакция может иметь другую структуру, а стоимость коммуникаций и LGD требуют настройки под портфель. Кроме того, в открытом наборе данных отсутствует настоящая история контактов, поэтому experiment показывает методологию, а не готовую промышленную модель. Эти ограничения важны, но не снижают ценность работы как стенда для анализа условий применимости.</w:t>
      </w:r>
    </w:p>
    <w:p>
      <w:pPr>
        <w:pStyle w:val="a1"/>
        <w:jc w:val="center"/>
      </w:pPr>
      <w:r>
        <w:rPr>
          <w:rFonts w:ascii="Times New Roman" w:hAnsi="Times New Roman" w:cs="Times New Roman"/>
          <w:sz w:val="28"/>
          <w:b/>
        </w:rPr>
        <w:t xml:space="preserve">Таблица 4.4 - Практический чек-лист внедрения uplift-моделей в финтехе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Блок</w:t>
            </w:r>
          </w:p>
        </w:tc>
        <w:tc>
          <w:tcPr>
            <w:tcW w:w="3000" w:type="dxa"/>
          </w:tcPr>
          <w:p>
            <w:pPr>
              <w:pStyle w:val="a1"/>
              <w:jc w:val="left"/>
            </w:pPr>
            <w:r>
              <w:rPr>
                <w:rFonts w:ascii="Times New Roman" w:hAnsi="Times New Roman" w:cs="Times New Roman"/>
                <w:sz w:val="24"/>
                <w:b/>
              </w:rPr>
              <w:t xml:space="preserve">Что проверить</w:t>
            </w:r>
          </w:p>
        </w:tc>
        <w:tc>
          <w:tcPr>
            <w:tcW w:w="3000" w:type="dxa"/>
          </w:tcPr>
          <w:p>
            <w:pPr>
              <w:pStyle w:val="a1"/>
              <w:jc w:val="left"/>
            </w:pPr>
            <w:r>
              <w:rPr>
                <w:rFonts w:ascii="Times New Roman" w:hAnsi="Times New Roman" w:cs="Times New Roman"/>
                <w:sz w:val="24"/>
                <w:b/>
              </w:rPr>
              <w:t xml:space="preserve">Решение или ориентир</w:t>
            </w:r>
          </w:p>
        </w:tc>
      </w:tr>
      <w:tr>
        <w:tc>
          <w:tcPr>
            <w:tcW w:w="3000" w:type="dxa"/>
          </w:tcPr>
          <w:p>
            <w:pPr>
              <w:pStyle w:val="a1"/>
              <w:jc w:val="left"/>
            </w:pPr>
            <w:r>
              <w:rPr>
                <w:rFonts w:ascii="Times New Roman" w:hAnsi="Times New Roman" w:cs="Times New Roman"/>
                <w:sz w:val="24"/>
              </w:rPr>
              <w:t xml:space="preserve">Постановка</w:t>
            </w:r>
          </w:p>
        </w:tc>
        <w:tc>
          <w:tcPr>
            <w:tcW w:w="3000" w:type="dxa"/>
          </w:tcPr>
          <w:p>
            <w:pPr>
              <w:pStyle w:val="a1"/>
              <w:jc w:val="left"/>
            </w:pPr>
            <w:r>
              <w:rPr>
                <w:rFonts w:ascii="Times New Roman" w:hAnsi="Times New Roman" w:cs="Times New Roman"/>
                <w:sz w:val="24"/>
              </w:rPr>
              <w:t xml:space="preserve">Есть ли управляемое действие и измеримый исход</w:t>
            </w:r>
          </w:p>
        </w:tc>
        <w:tc>
          <w:tcPr>
            <w:tcW w:w="3000" w:type="dxa"/>
          </w:tcPr>
          <w:p>
            <w:pPr>
              <w:pStyle w:val="a1"/>
              <w:jc w:val="left"/>
            </w:pPr>
            <w:r>
              <w:rPr>
                <w:rFonts w:ascii="Times New Roman" w:hAnsi="Times New Roman" w:cs="Times New Roman"/>
                <w:sz w:val="24"/>
              </w:rPr>
              <w:t xml:space="preserve">Формализовать действие, канал, горизонт и метрику</w:t>
            </w:r>
          </w:p>
        </w:tc>
      </w:tr>
      <w:tr>
        <w:tc>
          <w:tcPr>
            <w:tcW w:w="3000" w:type="dxa"/>
          </w:tcPr>
          <w:p>
            <w:pPr>
              <w:pStyle w:val="a1"/>
              <w:jc w:val="left"/>
            </w:pPr>
            <w:r>
              <w:rPr>
                <w:rFonts w:ascii="Times New Roman" w:hAnsi="Times New Roman" w:cs="Times New Roman"/>
                <w:sz w:val="24"/>
              </w:rPr>
              <w:t xml:space="preserve">Контроль</w:t>
            </w:r>
          </w:p>
        </w:tc>
        <w:tc>
          <w:tcPr>
            <w:tcW w:w="3000" w:type="dxa"/>
          </w:tcPr>
          <w:p>
            <w:pPr>
              <w:pStyle w:val="a1"/>
              <w:jc w:val="left"/>
            </w:pPr>
            <w:r>
              <w:rPr>
                <w:rFonts w:ascii="Times New Roman" w:hAnsi="Times New Roman" w:cs="Times New Roman"/>
                <w:sz w:val="24"/>
              </w:rPr>
              <w:t xml:space="preserve">Есть ли клиенты без воздействия</w:t>
            </w:r>
          </w:p>
        </w:tc>
        <w:tc>
          <w:tcPr>
            <w:tcW w:w="3000" w:type="dxa"/>
          </w:tcPr>
          <w:p>
            <w:pPr>
              <w:pStyle w:val="a1"/>
              <w:jc w:val="left"/>
            </w:pPr>
            <w:r>
              <w:rPr>
                <w:rFonts w:ascii="Times New Roman" w:hAnsi="Times New Roman" w:cs="Times New Roman"/>
                <w:sz w:val="24"/>
              </w:rPr>
              <w:t xml:space="preserve">Ввести 5-10% случайного holdout при допустимости</w:t>
            </w:r>
          </w:p>
        </w:tc>
      </w:tr>
      <w:tr>
        <w:tc>
          <w:tcPr>
            <w:tcW w:w="3000" w:type="dxa"/>
          </w:tcPr>
          <w:p>
            <w:pPr>
              <w:pStyle w:val="a1"/>
              <w:jc w:val="left"/>
            </w:pPr>
            <w:r>
              <w:rPr>
                <w:rFonts w:ascii="Times New Roman" w:hAnsi="Times New Roman" w:cs="Times New Roman"/>
                <w:sz w:val="24"/>
              </w:rPr>
              <w:t xml:space="preserve">Перекрытие</w:t>
            </w:r>
          </w:p>
        </w:tc>
        <w:tc>
          <w:tcPr>
            <w:tcW w:w="3000" w:type="dxa"/>
          </w:tcPr>
          <w:p>
            <w:pPr>
              <w:pStyle w:val="a1"/>
              <w:jc w:val="left"/>
            </w:pPr>
            <w:r>
              <w:rPr>
                <w:rFonts w:ascii="Times New Roman" w:hAnsi="Times New Roman" w:cs="Times New Roman"/>
                <w:sz w:val="24"/>
              </w:rPr>
              <w:t xml:space="preserve">Есть ли похожие клиенты с разными действиями</w:t>
            </w:r>
          </w:p>
        </w:tc>
        <w:tc>
          <w:tcPr>
            <w:tcW w:w="3000" w:type="dxa"/>
          </w:tcPr>
          <w:p>
            <w:pPr>
              <w:pStyle w:val="a1"/>
              <w:jc w:val="left"/>
            </w:pPr>
            <w:r>
              <w:rPr>
                <w:rFonts w:ascii="Times New Roman" w:hAnsi="Times New Roman" w:cs="Times New Roman"/>
                <w:sz w:val="24"/>
              </w:rPr>
              <w:t xml:space="preserve">Проверять propensity score и SMD</w:t>
            </w:r>
          </w:p>
        </w:tc>
      </w:tr>
      <w:tr>
        <w:tc>
          <w:tcPr>
            <w:tcW w:w="3000" w:type="dxa"/>
          </w:tcPr>
          <w:p>
            <w:pPr>
              <w:pStyle w:val="a1"/>
              <w:jc w:val="left"/>
            </w:pPr>
            <w:r>
              <w:rPr>
                <w:rFonts w:ascii="Times New Roman" w:hAnsi="Times New Roman" w:cs="Times New Roman"/>
                <w:sz w:val="24"/>
              </w:rPr>
              <w:t xml:space="preserve">Каналы</w:t>
            </w:r>
          </w:p>
        </w:tc>
        <w:tc>
          <w:tcPr>
            <w:tcW w:w="3000" w:type="dxa"/>
          </w:tcPr>
          <w:p>
            <w:pPr>
              <w:pStyle w:val="a1"/>
              <w:jc w:val="left"/>
            </w:pPr>
            <w:r>
              <w:rPr>
                <w:rFonts w:ascii="Times New Roman" w:hAnsi="Times New Roman" w:cs="Times New Roman"/>
                <w:sz w:val="24"/>
              </w:rPr>
              <w:t xml:space="preserve">Хватает ли данных по каждому каналу</w:t>
            </w:r>
          </w:p>
        </w:tc>
        <w:tc>
          <w:tcPr>
            <w:tcW w:w="3000" w:type="dxa"/>
          </w:tcPr>
          <w:p>
            <w:pPr>
              <w:pStyle w:val="a1"/>
              <w:jc w:val="left"/>
            </w:pPr>
            <w:r>
              <w:rPr>
                <w:rFonts w:ascii="Times New Roman" w:hAnsi="Times New Roman" w:cs="Times New Roman"/>
                <w:sz w:val="24"/>
              </w:rPr>
              <w:t xml:space="preserve">Копить зрелые наблюдения и вводить exploration</w:t>
            </w:r>
          </w:p>
        </w:tc>
      </w:tr>
      <w:tr>
        <w:tc>
          <w:tcPr>
            <w:tcW w:w="3000" w:type="dxa"/>
          </w:tcPr>
          <w:p>
            <w:pPr>
              <w:pStyle w:val="a1"/>
              <w:jc w:val="left"/>
            </w:pPr>
            <w:r>
              <w:rPr>
                <w:rFonts w:ascii="Times New Roman" w:hAnsi="Times New Roman" w:cs="Times New Roman"/>
                <w:sz w:val="24"/>
              </w:rPr>
              <w:t xml:space="preserve">Модели</w:t>
            </w:r>
          </w:p>
        </w:tc>
        <w:tc>
          <w:tcPr>
            <w:tcW w:w="3000" w:type="dxa"/>
          </w:tcPr>
          <w:p>
            <w:pPr>
              <w:pStyle w:val="a1"/>
              <w:jc w:val="left"/>
            </w:pPr>
            <w:r>
              <w:rPr>
                <w:rFonts w:ascii="Times New Roman" w:hAnsi="Times New Roman" w:cs="Times New Roman"/>
                <w:sz w:val="24"/>
              </w:rPr>
              <w:t xml:space="preserve">Сильны ли baseline и uplift относительно оракула</w:t>
            </w:r>
          </w:p>
        </w:tc>
        <w:tc>
          <w:tcPr>
            <w:tcW w:w="3000" w:type="dxa"/>
          </w:tcPr>
          <w:p>
            <w:pPr>
              <w:pStyle w:val="a1"/>
              <w:jc w:val="left"/>
            </w:pPr>
            <w:r>
              <w:rPr>
                <w:rFonts w:ascii="Times New Roman" w:hAnsi="Times New Roman" w:cs="Times New Roman"/>
                <w:sz w:val="24"/>
              </w:rPr>
              <w:t xml:space="preserve">Сравнивать с risk-based, random и logged-policy oracle</w:t>
            </w:r>
          </w:p>
        </w:tc>
      </w:tr>
      <w:tr>
        <w:tc>
          <w:tcPr>
            <w:tcW w:w="3000" w:type="dxa"/>
          </w:tcPr>
          <w:p>
            <w:pPr>
              <w:pStyle w:val="a1"/>
              <w:jc w:val="left"/>
            </w:pPr>
            <w:r>
              <w:rPr>
                <w:rFonts w:ascii="Times New Roman" w:hAnsi="Times New Roman" w:cs="Times New Roman"/>
                <w:sz w:val="24"/>
              </w:rPr>
              <w:t xml:space="preserve">Устойчивость</w:t>
            </w:r>
          </w:p>
        </w:tc>
        <w:tc>
          <w:tcPr>
            <w:tcW w:w="3000" w:type="dxa"/>
          </w:tcPr>
          <w:p>
            <w:pPr>
              <w:pStyle w:val="a1"/>
              <w:jc w:val="left"/>
            </w:pPr>
            <w:r>
              <w:rPr>
                <w:rFonts w:ascii="Times New Roman" w:hAnsi="Times New Roman" w:cs="Times New Roman"/>
                <w:sz w:val="24"/>
              </w:rPr>
              <w:t xml:space="preserve">Случайна ли разница метрик</w:t>
            </w:r>
          </w:p>
        </w:tc>
        <w:tc>
          <w:tcPr>
            <w:tcW w:w="3000" w:type="dxa"/>
          </w:tcPr>
          <w:p>
            <w:pPr>
              <w:pStyle w:val="a1"/>
              <w:jc w:val="left"/>
            </w:pPr>
            <w:r>
              <w:rPr>
                <w:rFonts w:ascii="Times New Roman" w:hAnsi="Times New Roman" w:cs="Times New Roman"/>
                <w:sz w:val="24"/>
              </w:rPr>
              <w:t xml:space="preserve">Использовать bootstrap и paired bootstrap</w:t>
            </w:r>
          </w:p>
        </w:tc>
      </w:tr>
      <w:tr>
        <w:tc>
          <w:tcPr>
            <w:tcW w:w="3000" w:type="dxa"/>
          </w:tcPr>
          <w:p>
            <w:pPr>
              <w:pStyle w:val="a1"/>
              <w:jc w:val="left"/>
            </w:pPr>
            <w:r>
              <w:rPr>
                <w:rFonts w:ascii="Times New Roman" w:hAnsi="Times New Roman" w:cs="Times New Roman"/>
                <w:sz w:val="24"/>
              </w:rPr>
              <w:t xml:space="preserve">Экономика</w:t>
            </w:r>
          </w:p>
        </w:tc>
        <w:tc>
          <w:tcPr>
            <w:tcW w:w="3000" w:type="dxa"/>
          </w:tcPr>
          <w:p>
            <w:pPr>
              <w:pStyle w:val="a1"/>
              <w:jc w:val="left"/>
            </w:pPr>
            <w:r>
              <w:rPr>
                <w:rFonts w:ascii="Times New Roman" w:hAnsi="Times New Roman" w:cs="Times New Roman"/>
                <w:sz w:val="24"/>
              </w:rPr>
              <w:t xml:space="preserve">Окупается ли воздействие</w:t>
            </w:r>
          </w:p>
        </w:tc>
        <w:tc>
          <w:tcPr>
            <w:tcW w:w="3000" w:type="dxa"/>
          </w:tcPr>
          <w:p>
            <w:pPr>
              <w:pStyle w:val="a1"/>
              <w:jc w:val="left"/>
            </w:pPr>
            <w:r>
              <w:rPr>
                <w:rFonts w:ascii="Times New Roman" w:hAnsi="Times New Roman" w:cs="Times New Roman"/>
                <w:sz w:val="24"/>
              </w:rPr>
              <w:t xml:space="preserve">Считать net value с учетом стоимости и емкости</w:t>
            </w:r>
          </w:p>
        </w:tc>
      </w:tr>
      <w:tr>
        <w:tc>
          <w:tcPr>
            <w:tcW w:w="3000" w:type="dxa"/>
          </w:tcPr>
          <w:p>
            <w:pPr>
              <w:pStyle w:val="a1"/>
              <w:jc w:val="left"/>
            </w:pPr>
            <w:r>
              <w:rPr>
                <w:rFonts w:ascii="Times New Roman" w:hAnsi="Times New Roman" w:cs="Times New Roman"/>
                <w:sz w:val="24"/>
              </w:rPr>
              <w:t xml:space="preserve">Контроль рисков</w:t>
            </w:r>
          </w:p>
        </w:tc>
        <w:tc>
          <w:tcPr>
            <w:tcW w:w="3000" w:type="dxa"/>
          </w:tcPr>
          <w:p>
            <w:pPr>
              <w:pStyle w:val="a1"/>
              <w:jc w:val="left"/>
            </w:pPr>
            <w:r>
              <w:rPr>
                <w:rFonts w:ascii="Times New Roman" w:hAnsi="Times New Roman" w:cs="Times New Roman"/>
                <w:sz w:val="24"/>
              </w:rPr>
              <w:t xml:space="preserve">Нет ли утечки и негативных эффектов</w:t>
            </w:r>
          </w:p>
        </w:tc>
        <w:tc>
          <w:tcPr>
            <w:tcW w:w="3000" w:type="dxa"/>
          </w:tcPr>
          <w:p>
            <w:pPr>
              <w:pStyle w:val="a1"/>
              <w:jc w:val="left"/>
            </w:pPr>
            <w:r>
              <w:rPr>
                <w:rFonts w:ascii="Times New Roman" w:hAnsi="Times New Roman" w:cs="Times New Roman"/>
                <w:sz w:val="24"/>
              </w:rPr>
              <w:t xml:space="preserve">Исключать post-treatment поля и вводить консервативные пороги</w:t>
            </w:r>
          </w:p>
        </w:tc>
      </w:tr>
    </w:tbl>
    <w:p>
      <w:pPr>
        <w:pStyle w:val="a1"/>
        <w:jc w:val="both"/>
      </w:pPr>
      <w:r>
        <w:rPr>
          <w:rFonts w:ascii="Times New Roman" w:hAnsi="Times New Roman" w:cs="Times New Roman"/>
          <w:sz w:val="28"/>
        </w:rPr>
        <w:t xml:space="preserve">Выводы по четвертой главе. Риск-модели остаются сильным и необходимым baseline, но не отвечают напрямую на вопрос об эффекте воздействия. T-Learner и S-Learner показывают устойчивое преимущество над практическими риск-моделями по AUUC, однако синтетический BASE_PD демонстрирует, что при согласованности риска и эффекта риск-ориентированная стратегия может выглядеть почти как uplift. Поэтому главный практический результат работы - не выбор одного алгоритма, а методика проверки условий, при которых uplift-подход действительно нужен и экономически оправдан.</w:t>
      </w:r>
    </w:p>
    <w:p>
      <w:pPr>
        <w:pStyle w:val="1"/>
        <w:jc w:val="center"/>
      </w:pPr>
      <w:r>
        <w:rPr>
          <w:rFonts w:ascii="Times New Roman" w:hAnsi="Times New Roman" w:cs="Times New Roman"/>
          <w:sz w:val="28"/>
          <w:b/>
        </w:rPr>
        <w:t xml:space="preserve">ЗАКЛЮЧЕНИЕ</w:t>
      </w:r>
    </w:p>
    <w:p>
      <w:pPr>
        <w:pStyle w:val="a1"/>
        <w:jc w:val="both"/>
      </w:pPr>
      <w:r>
        <w:rPr>
          <w:rFonts w:ascii="Times New Roman" w:hAnsi="Times New Roman" w:cs="Times New Roman"/>
          <w:sz w:val="28"/>
        </w:rPr>
        <w:t xml:space="preserve">В работе рассмотрено применение uplift-моделирования в финтехе как инструмента выбора клиентского воздействия. В отличие от классического риск-скоринга, который оценивает вероятность события, uplift-подход оценивает изменение этой вероятности под влиянием действия. Такая постановка особенно важна для задач, где действие имеет стоимость, может быть избыточным или вредным и по-разному влияет на разных клиентов.</w:t>
      </w:r>
    </w:p>
    <w:p>
      <w:pPr>
        <w:pStyle w:val="a1"/>
        <w:jc w:val="both"/>
      </w:pPr>
      <w:r>
        <w:rPr>
          <w:rFonts w:ascii="Times New Roman" w:hAnsi="Times New Roman" w:cs="Times New Roman"/>
          <w:sz w:val="28"/>
        </w:rPr>
        <w:t xml:space="preserve">В первой главе показано, что uplift-постановка применима не только к кредитным коммуникациям, но и к более широкому классу финтех-задач: удержанию клиентов, реструктуризации, кросс-продаже, управлению лимитами, мягкому взысканию и другим процессам выбора воздействия. Одновременно выделены барьеры внедрения: контрфактическая природа эффекта, selection bias, отсутствие контроля, редкий и поздний исход, дисбаланс каналов, стоимость действий и риск утечки информации.</w:t>
      </w:r>
    </w:p>
    <w:p>
      <w:pPr>
        <w:pStyle w:val="a1"/>
        <w:jc w:val="both"/>
      </w:pPr>
      <w:r>
        <w:rPr>
          <w:rFonts w:ascii="Times New Roman" w:hAnsi="Times New Roman" w:cs="Times New Roman"/>
          <w:sz w:val="28"/>
        </w:rPr>
        <w:t xml:space="preserve">Во второй главе сформирована методика оценки индивидуального эффекта. Она объединяет фреймворк потенциальных исходов, требования к данным, диагностику перекрытия и SMD, сравнение риск-моделей и meta-learner моделей, разделение logged-policy и counterfactual oracle, AUUC/Qini метрики, bootstrap-оценку устойчивости и перевод эффекта в экономическую ценность.</w:t>
      </w:r>
    </w:p>
    <w:p>
      <w:pPr>
        <w:pStyle w:val="a1"/>
        <w:jc w:val="both"/>
      </w:pPr>
      <w:r>
        <w:rPr>
          <w:rFonts w:ascii="Times New Roman" w:hAnsi="Times New Roman" w:cs="Times New Roman"/>
          <w:sz w:val="28"/>
        </w:rPr>
        <w:t xml:space="preserve">В третьей главе создан воспроизводимый экспериментальный стенд на основе реального кредитного набора данных и синтетического причинного слоя. Синтетический слой задает базовую вероятность дефолта, вероятность контакта, тип коммуникации, историю контактов, предпочтение канала, индивидуальные эффекты, потенциальные исходы и оракульные поля. Благодаря этому в эксперименте можно оценивать не только прогноз дефолта, но и способность моделей восстанавливать индивидуальный эффект воздействия.</w:t>
      </w:r>
    </w:p>
    <w:p>
      <w:pPr>
        <w:pStyle w:val="a1"/>
        <w:jc w:val="both"/>
      </w:pPr>
      <w:r>
        <w:rPr>
          <w:rFonts w:ascii="Times New Roman" w:hAnsi="Times New Roman" w:cs="Times New Roman"/>
          <w:sz w:val="28"/>
        </w:rPr>
        <w:t xml:space="preserve">В четвертой главе проведено сравнение моделей. CatBoost показал более высокое качество риск-прогноза, чем логистическая регрессия, но risk-based стратегии уступили T-Learner и S-Learner по AUUC. Bootstrap подтвердил устойчивое преимущество uplift-моделей над практическими риск-моделями. Одновременно BASE_PD оказался очень сильным ориентиром, что позволило выявить центральную методологическую проблему: при согласованности риска и эффекта риск-скоринг может имитировать uplift.</w:t>
      </w:r>
    </w:p>
    <w:p>
      <w:pPr>
        <w:pStyle w:val="a1"/>
        <w:jc w:val="both"/>
      </w:pPr>
      <w:r>
        <w:rPr>
          <w:rFonts w:ascii="Times New Roman" w:hAnsi="Times New Roman" w:cs="Times New Roman"/>
          <w:sz w:val="28"/>
        </w:rPr>
        <w:t xml:space="preserve">Сценарный анализ связи риска и эффекта является главным усилением работы. Он показывает, что ценность uplift-подхода зависит не только от алгоритма, но и от структуры данных. Если высокий риск совпадает с высокой полезностью коммуникации, риск-ориентированная стратегия может быть конкурентной. Если изменяемый сегмент находится у клиентов среднего риска или эффект слабо связан с риском, причинная постановка становится более содержательно обоснованной.</w:t>
      </w:r>
    </w:p>
    <w:p>
      <w:pPr>
        <w:pStyle w:val="a1"/>
        <w:jc w:val="both"/>
      </w:pPr>
      <w:r>
        <w:rPr>
          <w:rFonts w:ascii="Times New Roman" w:hAnsi="Times New Roman" w:cs="Times New Roman"/>
          <w:sz w:val="28"/>
        </w:rPr>
        <w:t xml:space="preserve">Практический вклад работы состоит в формулировании чек-листа внедрения uplift-моделей в финтехе. Для надежного применения нужны управляемое действие, измеримый исход, контрольная группа, перекрытие между группами, достаточный объем наблюдений по каналам, отсутствие утечки, доверительные интервалы и бизнес-оценка чистой ценности. Для многоканального выбора дополнительно требуется небольшая exploration-доля, позволяющая накопить данные об альтернативных каналах.</w:t>
      </w:r>
    </w:p>
    <w:p>
      <w:pPr>
        <w:pStyle w:val="a1"/>
        <w:jc w:val="both"/>
      </w:pPr>
      <w:r>
        <w:rPr>
          <w:rFonts w:ascii="Times New Roman" w:hAnsi="Times New Roman" w:cs="Times New Roman"/>
          <w:sz w:val="28"/>
        </w:rPr>
        <w:t xml:space="preserve">Ограничения исследования связаны с синтетическим характером коммуникационного слоя, оценочными экономическими параметрами и отсутствием реальной CRM-истории банка. Поэтому результаты не следует трактовать как готовую промышленную политику коммуникаций. Их следует рассматривать как воспроизводимый методический стенд и набор практических требований, которые могут быть перенесены на реальные банковские данные при наличии контроля и корректного дизайна эксперимента.</w:t>
      </w:r>
    </w:p>
    <w:p>
      <w:pPr>
        <w:pStyle w:val="a1"/>
        <w:jc w:val="both"/>
      </w:pPr>
      <w:r>
        <w:rPr>
          <w:rFonts w:ascii="Times New Roman" w:hAnsi="Times New Roman" w:cs="Times New Roman"/>
          <w:sz w:val="28"/>
        </w:rPr>
        <w:t xml:space="preserve">Перспективы дальнейшего развития включают проверку методики на реальных банковских коммуникациях, проведение пилотного A/B/n-эксперимента с контролируемой exploration-долей, расширение сценарного анализа на полную матрицу каналов, применение IPS/AIPW-оценки политик, учет емкости контакт-центра, построение оптимизационной модели бюджета и проверку подхода на дополнительных открытых uplift-наборах данных.</w:t>
      </w:r>
    </w:p>
    <w:p>
      <w:pPr>
        <w:pStyle w:val="a1"/>
        <w:jc w:val="both"/>
      </w:pPr>
      <w:r>
        <w:rPr>
          <w:rFonts w:ascii="Times New Roman" w:hAnsi="Times New Roman" w:cs="Times New Roman"/>
          <w:sz w:val="28"/>
        </w:rPr>
        <w:t xml:space="preserve">Главный итог работы можно сформулировать следующим образом: uplift-моделирование в финтехе полезно не как модная замена скорингу, а как инструмент более точного выбора воздействия при наличии правильных данных и экспериментального дизайна. Его ценность возникает там, где важно отличить клиента с высоким риском от клиента, поведение которого действительно можно изменить.</w:t>
      </w:r>
    </w:p>
    <w:p>
      <w:pPr>
        <w:pStyle w:val="1"/>
        <w:jc w:val="center"/>
      </w:pPr>
      <w:r>
        <w:rPr>
          <w:rFonts w:ascii="Times New Roman" w:hAnsi="Times New Roman" w:cs="Times New Roman"/>
          <w:sz w:val="28"/>
          <w:b/>
        </w:rPr>
        <w:t xml:space="preserve">СПИСОК ЛИТЕРАТУРЫ</w:t>
      </w:r>
    </w:p>
    <w:p>
      <w:pPr>
        <w:pStyle w:val="a1"/>
        <w:jc w:val="both"/>
      </w:pPr>
      <w:r>
        <w:rPr>
          <w:rFonts w:ascii="Times New Roman" w:hAnsi="Times New Roman" w:cs="Times New Roman"/>
          <w:sz w:val="28"/>
        </w:rPr>
        <w:t xml:space="preserve">[1] Rubin D.B. Estimating Causal Effects of Treatments in Randomized and Nonrandomized Studies // Journal of Educational Psychology. 1974. Vol. 66. P. 688-701.</w:t>
      </w:r>
    </w:p>
    <w:p>
      <w:pPr>
        <w:pStyle w:val="a1"/>
        <w:jc w:val="both"/>
      </w:pPr>
      <w:r>
        <w:rPr>
          <w:rFonts w:ascii="Times New Roman" w:hAnsi="Times New Roman" w:cs="Times New Roman"/>
          <w:sz w:val="28"/>
        </w:rPr>
        <w:t xml:space="preserve">[2] Holland P.W. Statistics and Causal Inference // Journal of the American Statistical Association. 1986. Vol. 81, No. 396. P. 945-960.</w:t>
      </w:r>
    </w:p>
    <w:p>
      <w:pPr>
        <w:pStyle w:val="a1"/>
        <w:jc w:val="both"/>
      </w:pPr>
      <w:r>
        <w:rPr>
          <w:rFonts w:ascii="Times New Roman" w:hAnsi="Times New Roman" w:cs="Times New Roman"/>
          <w:sz w:val="28"/>
        </w:rPr>
        <w:t xml:space="preserve">[3] Radcliffe N.J., Surry P.D. Real-World Uplift Modelling with Significance-Based Uplift Trees // White Paper TR-2011-1. Stochastic Solutions, 2011.</w:t>
      </w:r>
    </w:p>
    <w:p>
      <w:pPr>
        <w:pStyle w:val="a1"/>
        <w:jc w:val="both"/>
      </w:pPr>
      <w:r>
        <w:rPr>
          <w:rFonts w:ascii="Times New Roman" w:hAnsi="Times New Roman" w:cs="Times New Roman"/>
          <w:sz w:val="28"/>
        </w:rPr>
        <w:t xml:space="preserve">[4] Lo V.S.Y. The True Lift Model: A Novel Data Mining Approach to Response Modeling in Database Marketing // SIGKDD Explorations. 2002. Vol. 4, No. 2. P. 78-86.</w:t>
      </w:r>
    </w:p>
    <w:p>
      <w:pPr>
        <w:pStyle w:val="a1"/>
        <w:jc w:val="both"/>
      </w:pPr>
      <w:r>
        <w:rPr>
          <w:rFonts w:ascii="Times New Roman" w:hAnsi="Times New Roman" w:cs="Times New Roman"/>
          <w:sz w:val="28"/>
        </w:rPr>
        <w:t xml:space="preserve">[5] Gutierrez P., Gerardy J.-Y. Causal Inference and Uplift Modelling: A Review of the Literature // Proceedings of The 3rd International Conference on Predictive Applications and APIs. 2017.</w:t>
      </w:r>
    </w:p>
    <w:p>
      <w:pPr>
        <w:pStyle w:val="a1"/>
        <w:jc w:val="both"/>
      </w:pPr>
      <w:r>
        <w:rPr>
          <w:rFonts w:ascii="Times New Roman" w:hAnsi="Times New Roman" w:cs="Times New Roman"/>
          <w:sz w:val="28"/>
        </w:rPr>
        <w:t xml:space="preserve">[6] Kunzel S.R., Sekhon J.S., Bickel P.J., Yu B. Metalearners for Estimating Heterogeneous Treatment Effects Using Machine Learning // PNAS. 2019. Vol. 116. P. 4156-4165.</w:t>
      </w:r>
    </w:p>
    <w:p>
      <w:pPr>
        <w:pStyle w:val="a1"/>
        <w:jc w:val="both"/>
      </w:pPr>
      <w:r>
        <w:rPr>
          <w:rFonts w:ascii="Times New Roman" w:hAnsi="Times New Roman" w:cs="Times New Roman"/>
          <w:sz w:val="28"/>
        </w:rPr>
        <w:t xml:space="preserve">[7] Kennedy E.H. Optimal Doubly Robust Estimation of Heterogeneous Causal Effects // arXiv:2004.14497. 2020.</w:t>
      </w:r>
    </w:p>
    <w:p>
      <w:pPr>
        <w:pStyle w:val="a1"/>
        <w:jc w:val="both"/>
      </w:pPr>
      <w:r>
        <w:rPr>
          <w:rFonts w:ascii="Times New Roman" w:hAnsi="Times New Roman" w:cs="Times New Roman"/>
          <w:sz w:val="28"/>
        </w:rPr>
        <w:t xml:space="preserve">[8] Devriendt F., Moldovan D., Verbeke W. A Literature Survey and Experimental Evaluation of the State-of-the-Art in Uplift Modeling // Journal of Machine Learning Research. 2018. Vol. 19.</w:t>
      </w:r>
    </w:p>
    <w:p>
      <w:pPr>
        <w:pStyle w:val="a1"/>
        <w:jc w:val="both"/>
      </w:pPr>
      <w:r>
        <w:rPr>
          <w:rFonts w:ascii="Times New Roman" w:hAnsi="Times New Roman" w:cs="Times New Roman"/>
          <w:sz w:val="28"/>
        </w:rPr>
        <w:t xml:space="preserve">[9] Prokhorenkova L., Gusev G., Vorobev A., Dorogush A.V., Gulin A. CatBoost: Unbiased Boosting with Categorical Features // Advances in Neural Information Processing Systems. 2018.</w:t>
      </w:r>
    </w:p>
    <w:p>
      <w:pPr>
        <w:pStyle w:val="a1"/>
        <w:jc w:val="both"/>
      </w:pPr>
      <w:r>
        <w:rPr>
          <w:rFonts w:ascii="Times New Roman" w:hAnsi="Times New Roman" w:cs="Times New Roman"/>
          <w:sz w:val="28"/>
        </w:rPr>
        <w:t xml:space="preserve">[10] Lundberg S.M., Lee S.-I. A Unified Approach to Interpreting Model Predictions // Advances in Neural Information Processing Systems. 2017.</w:t>
      </w:r>
    </w:p>
    <w:p>
      <w:pPr>
        <w:pStyle w:val="a1"/>
        <w:jc w:val="both"/>
      </w:pPr>
      <w:r>
        <w:rPr>
          <w:rFonts w:ascii="Times New Roman" w:hAnsi="Times New Roman" w:cs="Times New Roman"/>
          <w:sz w:val="28"/>
        </w:rPr>
        <w:t xml:space="preserve">[11] Chen J., Harinen T., Lee J.-Y., Yung M., Zhao Z. CausalML: Python Package for Causal Machine Learning // arXiv:2002.11631. 2020.</w:t>
      </w:r>
    </w:p>
    <w:p>
      <w:pPr>
        <w:pStyle w:val="a1"/>
        <w:jc w:val="both"/>
      </w:pPr>
      <w:r>
        <w:rPr>
          <w:rFonts w:ascii="Times New Roman" w:hAnsi="Times New Roman" w:cs="Times New Roman"/>
          <w:sz w:val="28"/>
        </w:rPr>
        <w:t xml:space="preserve">[12] Battocchi K., Dillon E., Hei M., Lewis G., Oka P., Oprescu M., Syrgkanis V. EconML: A Machine Learning Library for Estimating Heterogeneous Treatment Effects. 2019.</w:t>
      </w:r>
    </w:p>
    <w:p>
      <w:pPr>
        <w:pStyle w:val="a1"/>
        <w:jc w:val="both"/>
      </w:pPr>
      <w:r>
        <w:rPr>
          <w:rFonts w:ascii="Times New Roman" w:hAnsi="Times New Roman" w:cs="Times New Roman"/>
          <w:sz w:val="28"/>
        </w:rPr>
        <w:t xml:space="preserve">[13] Diemert E., Betlei A., Renaudin C., Amini M.-R. A Large Scale Benchmark for Uplift Modeling // ADKDD and TargetAd Workshop, KDD. 2018.</w:t>
      </w:r>
    </w:p>
    <w:p>
      <w:pPr>
        <w:pStyle w:val="a1"/>
        <w:jc w:val="both"/>
      </w:pPr>
      <w:r>
        <w:rPr>
          <w:rFonts w:ascii="Times New Roman" w:hAnsi="Times New Roman" w:cs="Times New Roman"/>
          <w:sz w:val="28"/>
        </w:rPr>
        <w:t xml:space="preserve">[14] Home Credit Default Risk. Открытый набор данных по задаче кредитного риска. URL: https://www.kaggle.com/competitions/home-credit-default-risk.</w:t>
      </w:r>
    </w:p>
    <w:p>
      <w:pPr>
        <w:pStyle w:val="af8"/>
        <w:jc w:val="both"/>
      </w:pPr>
      <w:r>
        <w:rPr>
          <w:rFonts w:ascii="Times New Roman" w:hAnsi="Times New Roman" w:cs="Times New Roman"/>
          <w:sz w:val="24"/>
          <w:i/>
        </w:rPr>
        <w:t xml:space="preserve">Примечание для доработки: привести список литературы к единому ГОСТ-стилю, добавить даты обращения для интернет-источников и при необходимости усилить список русскоязычными источниками по кредитному скорингу и банковским коммуникациям.</w:t>
      </w:r>
    </w:p>
    <w:p>
      <w:pPr>
        <w:pStyle w:val="1"/>
        <w:jc w:val="center"/>
      </w:pPr>
      <w:r>
        <w:rPr>
          <w:rFonts w:ascii="Times New Roman" w:hAnsi="Times New Roman" w:cs="Times New Roman"/>
          <w:sz w:val="28"/>
          <w:b/>
        </w:rPr>
        <w:t xml:space="preserve">ПРИЛОЖЕНИЕ А. КОНТРОЛЬНЫЙ СПИСОК МАТЕРИАЛОВ ДЛЯ ФИНАЛЬНОЙ ВЕРСИИ</w:t>
      </w:r>
    </w:p>
    <w:p>
      <w:pPr>
        <w:pStyle w:val="a1"/>
        <w:jc w:val="center"/>
      </w:pPr>
      <w:r>
        <w:rPr>
          <w:rFonts w:ascii="Times New Roman" w:hAnsi="Times New Roman" w:cs="Times New Roman"/>
          <w:sz w:val="28"/>
          <w:b/>
        </w:rPr>
        <w:t xml:space="preserve">Таблица А.1 - Материалы, которые стоит добавить перед финальной сдачей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pPr>
              <w:pStyle w:val="a1"/>
              <w:jc w:val="left"/>
            </w:pPr>
            <w:r>
              <w:rPr>
                <w:rFonts w:ascii="Times New Roman" w:hAnsi="Times New Roman" w:cs="Times New Roman"/>
                <w:sz w:val="24"/>
                <w:b/>
              </w:rPr>
              <w:t xml:space="preserve">Элемент</w:t>
            </w:r>
          </w:p>
        </w:tc>
        <w:tc>
          <w:tcPr>
            <w:tcW w:w="3000" w:type="dxa"/>
          </w:tcPr>
          <w:p>
            <w:pPr>
              <w:pStyle w:val="a1"/>
              <w:jc w:val="left"/>
            </w:pPr>
            <w:r>
              <w:rPr>
                <w:rFonts w:ascii="Times New Roman" w:hAnsi="Times New Roman" w:cs="Times New Roman"/>
                <w:sz w:val="24"/>
                <w:b/>
              </w:rPr>
              <w:t xml:space="preserve">Назначение</w:t>
            </w:r>
          </w:p>
        </w:tc>
        <w:tc>
          <w:tcPr>
            <w:tcW w:w="3000" w:type="dxa"/>
          </w:tcPr>
          <w:p>
            <w:pPr>
              <w:pStyle w:val="a1"/>
              <w:jc w:val="left"/>
            </w:pPr>
            <w:r>
              <w:rPr>
                <w:rFonts w:ascii="Times New Roman" w:hAnsi="Times New Roman" w:cs="Times New Roman"/>
                <w:sz w:val="24"/>
                <w:b/>
              </w:rPr>
              <w:t xml:space="preserve">Источник</w:t>
            </w:r>
          </w:p>
        </w:tc>
      </w:tr>
      <w:tr>
        <w:tc>
          <w:tcPr>
            <w:tcW w:w="3000" w:type="dxa"/>
          </w:tcPr>
          <w:p>
            <w:pPr>
              <w:pStyle w:val="a1"/>
              <w:jc w:val="left"/>
            </w:pPr>
            <w:r>
              <w:rPr>
                <w:rFonts w:ascii="Times New Roman" w:hAnsi="Times New Roman" w:cs="Times New Roman"/>
                <w:sz w:val="24"/>
              </w:rPr>
              <w:t xml:space="preserve">Рисунок 1.1</w:t>
            </w:r>
          </w:p>
        </w:tc>
        <w:tc>
          <w:tcPr>
            <w:tcW w:w="3000" w:type="dxa"/>
          </w:tcPr>
          <w:p>
            <w:pPr>
              <w:pStyle w:val="a1"/>
              <w:jc w:val="left"/>
            </w:pPr>
            <w:r>
              <w:rPr>
                <w:rFonts w:ascii="Times New Roman" w:hAnsi="Times New Roman" w:cs="Times New Roman"/>
                <w:sz w:val="24"/>
              </w:rPr>
              <w:t xml:space="preserve">Карта финтех-задач выбора воздействия</w:t>
            </w:r>
          </w:p>
        </w:tc>
        <w:tc>
          <w:tcPr>
            <w:tcW w:w="3000" w:type="dxa"/>
          </w:tcPr>
          <w:p>
            <w:pPr>
              <w:pStyle w:val="a1"/>
              <w:jc w:val="left"/>
            </w:pPr>
            <w:r>
              <w:rPr>
                <w:rFonts w:ascii="Times New Roman" w:hAnsi="Times New Roman" w:cs="Times New Roman"/>
                <w:sz w:val="24"/>
              </w:rPr>
              <w:t xml:space="preserve">Схема на основе главы 1</w:t>
            </w:r>
          </w:p>
        </w:tc>
      </w:tr>
      <w:tr>
        <w:tc>
          <w:tcPr>
            <w:tcW w:w="3000" w:type="dxa"/>
          </w:tcPr>
          <w:p>
            <w:pPr>
              <w:pStyle w:val="a1"/>
              <w:jc w:val="left"/>
            </w:pPr>
            <w:r>
              <w:rPr>
                <w:rFonts w:ascii="Times New Roman" w:hAnsi="Times New Roman" w:cs="Times New Roman"/>
                <w:sz w:val="24"/>
              </w:rPr>
              <w:t xml:space="preserve">Рисунок 1.2</w:t>
            </w:r>
          </w:p>
        </w:tc>
        <w:tc>
          <w:tcPr>
            <w:tcW w:w="3000" w:type="dxa"/>
          </w:tcPr>
          <w:p>
            <w:pPr>
              <w:pStyle w:val="a1"/>
              <w:jc w:val="left"/>
            </w:pPr>
            <w:r>
              <w:rPr>
                <w:rFonts w:ascii="Times New Roman" w:hAnsi="Times New Roman" w:cs="Times New Roman"/>
                <w:sz w:val="24"/>
              </w:rPr>
              <w:t xml:space="preserve">Различие риск-скоринга и uplift-ранжирования</w:t>
            </w:r>
          </w:p>
        </w:tc>
        <w:tc>
          <w:tcPr>
            <w:tcW w:w="3000" w:type="dxa"/>
          </w:tcPr>
          <w:p>
            <w:pPr>
              <w:pStyle w:val="a1"/>
              <w:jc w:val="left"/>
            </w:pPr>
            <w:r>
              <w:rPr>
                <w:rFonts w:ascii="Times New Roman" w:hAnsi="Times New Roman" w:cs="Times New Roman"/>
                <w:sz w:val="24"/>
              </w:rPr>
              <w:t xml:space="preserve">Методическая схема</w:t>
            </w:r>
          </w:p>
        </w:tc>
      </w:tr>
      <w:tr>
        <w:tc>
          <w:tcPr>
            <w:tcW w:w="3000" w:type="dxa"/>
          </w:tcPr>
          <w:p>
            <w:pPr>
              <w:pStyle w:val="a1"/>
              <w:jc w:val="left"/>
            </w:pPr>
            <w:r>
              <w:rPr>
                <w:rFonts w:ascii="Times New Roman" w:hAnsi="Times New Roman" w:cs="Times New Roman"/>
                <w:sz w:val="24"/>
              </w:rPr>
              <w:t xml:space="preserve">Рисунок 2.1</w:t>
            </w:r>
          </w:p>
        </w:tc>
        <w:tc>
          <w:tcPr>
            <w:tcW w:w="3000" w:type="dxa"/>
          </w:tcPr>
          <w:p>
            <w:pPr>
              <w:pStyle w:val="a1"/>
              <w:jc w:val="left"/>
            </w:pPr>
            <w:r>
              <w:rPr>
                <w:rFonts w:ascii="Times New Roman" w:hAnsi="Times New Roman" w:cs="Times New Roman"/>
                <w:sz w:val="24"/>
              </w:rPr>
              <w:t xml:space="preserve">Потенциальные исходы и каналы коммуникации</w:t>
            </w:r>
          </w:p>
        </w:tc>
        <w:tc>
          <w:tcPr>
            <w:tcW w:w="3000" w:type="dxa"/>
          </w:tcPr>
          <w:p>
            <w:pPr>
              <w:pStyle w:val="a1"/>
              <w:jc w:val="left"/>
            </w:pPr>
            <w:r>
              <w:rPr>
                <w:rFonts w:ascii="Times New Roman" w:hAnsi="Times New Roman" w:cs="Times New Roman"/>
                <w:sz w:val="24"/>
              </w:rPr>
              <w:t xml:space="preserve">Методическая схема</w:t>
            </w:r>
          </w:p>
        </w:tc>
      </w:tr>
      <w:tr>
        <w:tc>
          <w:tcPr>
            <w:tcW w:w="3000" w:type="dxa"/>
          </w:tcPr>
          <w:p>
            <w:pPr>
              <w:pStyle w:val="a1"/>
              <w:jc w:val="left"/>
            </w:pPr>
            <w:r>
              <w:rPr>
                <w:rFonts w:ascii="Times New Roman" w:hAnsi="Times New Roman" w:cs="Times New Roman"/>
                <w:sz w:val="24"/>
              </w:rPr>
              <w:t xml:space="preserve">Рисунок 3.1</w:t>
            </w:r>
          </w:p>
        </w:tc>
        <w:tc>
          <w:tcPr>
            <w:tcW w:w="3000" w:type="dxa"/>
          </w:tcPr>
          <w:p>
            <w:pPr>
              <w:pStyle w:val="a1"/>
              <w:jc w:val="left"/>
            </w:pPr>
            <w:r>
              <w:rPr>
                <w:rFonts w:ascii="Times New Roman" w:hAnsi="Times New Roman" w:cs="Times New Roman"/>
                <w:sz w:val="24"/>
              </w:rPr>
              <w:t xml:space="preserve">Генерация синтетического причинного слоя</w:t>
            </w:r>
          </w:p>
        </w:tc>
        <w:tc>
          <w:tcPr>
            <w:tcW w:w="3000" w:type="dxa"/>
          </w:tcPr>
          <w:p>
            <w:pPr>
              <w:pStyle w:val="a1"/>
              <w:jc w:val="left"/>
            </w:pPr>
            <w:r>
              <w:rPr>
                <w:rFonts w:ascii="Times New Roman" w:hAnsi="Times New Roman" w:cs="Times New Roman"/>
                <w:sz w:val="24"/>
              </w:rPr>
              <w:t xml:space="preserve">prepare_dataset.ipynb</w:t>
            </w:r>
          </w:p>
        </w:tc>
      </w:tr>
      <w:tr>
        <w:tc>
          <w:tcPr>
            <w:tcW w:w="3000" w:type="dxa"/>
          </w:tcPr>
          <w:p>
            <w:pPr>
              <w:pStyle w:val="a1"/>
              <w:jc w:val="left"/>
            </w:pPr>
            <w:r>
              <w:rPr>
                <w:rFonts w:ascii="Times New Roman" w:hAnsi="Times New Roman" w:cs="Times New Roman"/>
                <w:sz w:val="24"/>
              </w:rPr>
              <w:t xml:space="preserve">Рисунок 3.2</w:t>
            </w:r>
          </w:p>
        </w:tc>
        <w:tc>
          <w:tcPr>
            <w:tcW w:w="3000" w:type="dxa"/>
          </w:tcPr>
          <w:p>
            <w:pPr>
              <w:pStyle w:val="a1"/>
              <w:jc w:val="left"/>
            </w:pPr>
            <w:r>
              <w:rPr>
                <w:rFonts w:ascii="Times New Roman" w:hAnsi="Times New Roman" w:cs="Times New Roman"/>
                <w:sz w:val="24"/>
              </w:rPr>
              <w:t xml:space="preserve">Propensity overlap contacted/control</w:t>
            </w:r>
          </w:p>
        </w:tc>
        <w:tc>
          <w:tcPr>
            <w:tcW w:w="3000" w:type="dxa"/>
          </w:tcPr>
          <w:p>
            <w:pPr>
              <w:pStyle w:val="a1"/>
              <w:jc w:val="left"/>
            </w:pPr>
            <w:r>
              <w:rPr>
                <w:rFonts w:ascii="Times New Roman" w:hAnsi="Times New Roman" w:cs="Times New Roman"/>
                <w:sz w:val="24"/>
              </w:rPr>
              <w:t xml:space="preserve">docs/tier1_outputs/fig_propensity_overlap.png</w:t>
            </w:r>
          </w:p>
        </w:tc>
      </w:tr>
      <w:tr>
        <w:tc>
          <w:tcPr>
            <w:tcW w:w="3000" w:type="dxa"/>
          </w:tcPr>
          <w:p>
            <w:pPr>
              <w:pStyle w:val="a1"/>
              <w:jc w:val="left"/>
            </w:pPr>
            <w:r>
              <w:rPr>
                <w:rFonts w:ascii="Times New Roman" w:hAnsi="Times New Roman" w:cs="Times New Roman"/>
                <w:sz w:val="24"/>
              </w:rPr>
              <w:t xml:space="preserve">Рисунок 3.3</w:t>
            </w:r>
          </w:p>
        </w:tc>
        <w:tc>
          <w:tcPr>
            <w:tcW w:w="3000" w:type="dxa"/>
          </w:tcPr>
          <w:p>
            <w:pPr>
              <w:pStyle w:val="a1"/>
              <w:jc w:val="left"/>
            </w:pPr>
            <w:r>
              <w:rPr>
                <w:rFonts w:ascii="Times New Roman" w:hAnsi="Times New Roman" w:cs="Times New Roman"/>
                <w:sz w:val="24"/>
              </w:rPr>
              <w:t xml:space="preserve">SMD до и после weighting</w:t>
            </w:r>
          </w:p>
        </w:tc>
        <w:tc>
          <w:tcPr>
            <w:tcW w:w="3000" w:type="dxa"/>
          </w:tcPr>
          <w:p>
            <w:pPr>
              <w:pStyle w:val="a1"/>
              <w:jc w:val="left"/>
            </w:pPr>
            <w:r>
              <w:rPr>
                <w:rFonts w:ascii="Times New Roman" w:hAnsi="Times New Roman" w:cs="Times New Roman"/>
                <w:sz w:val="24"/>
              </w:rPr>
              <w:t xml:space="preserve">docs/tier1_outputs/fig_smd_love_plot.png</w:t>
            </w:r>
          </w:p>
        </w:tc>
      </w:tr>
      <w:tr>
        <w:tc>
          <w:tcPr>
            <w:tcW w:w="3000" w:type="dxa"/>
          </w:tcPr>
          <w:p>
            <w:pPr>
              <w:pStyle w:val="a1"/>
              <w:jc w:val="left"/>
            </w:pPr>
            <w:r>
              <w:rPr>
                <w:rFonts w:ascii="Times New Roman" w:hAnsi="Times New Roman" w:cs="Times New Roman"/>
                <w:sz w:val="24"/>
              </w:rPr>
              <w:t xml:space="preserve">Рисунок 4.1</w:t>
            </w:r>
          </w:p>
        </w:tc>
        <w:tc>
          <w:tcPr>
            <w:tcW w:w="3000" w:type="dxa"/>
          </w:tcPr>
          <w:p>
            <w:pPr>
              <w:pStyle w:val="a1"/>
              <w:jc w:val="left"/>
            </w:pPr>
            <w:r>
              <w:rPr>
                <w:rFonts w:ascii="Times New Roman" w:hAnsi="Times New Roman" w:cs="Times New Roman"/>
                <w:sz w:val="24"/>
              </w:rPr>
              <w:t xml:space="preserve">AUUC с доверительными интервалами</w:t>
            </w:r>
          </w:p>
        </w:tc>
        <w:tc>
          <w:tcPr>
            <w:tcW w:w="3000" w:type="dxa"/>
          </w:tcPr>
          <w:p>
            <w:pPr>
              <w:pStyle w:val="a1"/>
              <w:jc w:val="left"/>
            </w:pPr>
            <w:r>
              <w:rPr>
                <w:rFonts w:ascii="Times New Roman" w:hAnsi="Times New Roman" w:cs="Times New Roman"/>
                <w:sz w:val="24"/>
              </w:rPr>
              <w:t xml:space="preserve">docs/tier1_outputs/fig_auuc_bootstrap_ci.png</w:t>
            </w:r>
          </w:p>
        </w:tc>
      </w:tr>
      <w:tr>
        <w:tc>
          <w:tcPr>
            <w:tcW w:w="3000" w:type="dxa"/>
          </w:tcPr>
          <w:p>
            <w:pPr>
              <w:pStyle w:val="a1"/>
              <w:jc w:val="left"/>
            </w:pPr>
            <w:r>
              <w:rPr>
                <w:rFonts w:ascii="Times New Roman" w:hAnsi="Times New Roman" w:cs="Times New Roman"/>
                <w:sz w:val="24"/>
              </w:rPr>
              <w:t xml:space="preserve">Рисунок 4.2</w:t>
            </w:r>
          </w:p>
        </w:tc>
        <w:tc>
          <w:tcPr>
            <w:tcW w:w="3000" w:type="dxa"/>
          </w:tcPr>
          <w:p>
            <w:pPr>
              <w:pStyle w:val="a1"/>
              <w:jc w:val="left"/>
            </w:pPr>
            <w:r>
              <w:rPr>
                <w:rFonts w:ascii="Times New Roman" w:hAnsi="Times New Roman" w:cs="Times New Roman"/>
                <w:sz w:val="24"/>
              </w:rPr>
              <w:t xml:space="preserve">Распределение каналов current и oracle policy</w:t>
            </w:r>
          </w:p>
        </w:tc>
        <w:tc>
          <w:tcPr>
            <w:tcW w:w="3000" w:type="dxa"/>
          </w:tcPr>
          <w:p>
            <w:pPr>
              <w:pStyle w:val="a1"/>
              <w:jc w:val="left"/>
            </w:pPr>
            <w:r>
              <w:rPr>
                <w:rFonts w:ascii="Times New Roman" w:hAnsi="Times New Roman" w:cs="Times New Roman"/>
                <w:sz w:val="24"/>
              </w:rPr>
              <w:t xml:space="preserve">docs/tier1_outputs/fig_oracle_channel_distribution.png</w:t>
            </w:r>
          </w:p>
        </w:tc>
      </w:tr>
      <w:tr>
        <w:tc>
          <w:tcPr>
            <w:tcW w:w="3000" w:type="dxa"/>
          </w:tcPr>
          <w:p>
            <w:pPr>
              <w:pStyle w:val="a1"/>
              <w:jc w:val="left"/>
            </w:pPr>
            <w:r>
              <w:rPr>
                <w:rFonts w:ascii="Times New Roman" w:hAnsi="Times New Roman" w:cs="Times New Roman"/>
                <w:sz w:val="24"/>
              </w:rPr>
              <w:t xml:space="preserve">Таблица 4.3</w:t>
            </w:r>
          </w:p>
        </w:tc>
        <w:tc>
          <w:tcPr>
            <w:tcW w:w="3000" w:type="dxa"/>
          </w:tcPr>
          <w:p>
            <w:pPr>
              <w:pStyle w:val="a1"/>
              <w:jc w:val="left"/>
            </w:pPr>
            <w:r>
              <w:rPr>
                <w:rFonts w:ascii="Times New Roman" w:hAnsi="Times New Roman" w:cs="Times New Roman"/>
                <w:sz w:val="24"/>
              </w:rPr>
              <w:t xml:space="preserve">Сценарный анализ alignment sweep</w:t>
            </w:r>
          </w:p>
        </w:tc>
        <w:tc>
          <w:tcPr>
            <w:tcW w:w="3000" w:type="dxa"/>
          </w:tcPr>
          <w:p>
            <w:pPr>
              <w:pStyle w:val="a1"/>
              <w:jc w:val="left"/>
            </w:pPr>
            <w:r>
              <w:rPr>
                <w:rFonts w:ascii="Times New Roman" w:hAnsi="Times New Roman" w:cs="Times New Roman"/>
                <w:sz w:val="24"/>
              </w:rPr>
              <w:t xml:space="preserve">uplift_models.ipynb</w:t>
            </w:r>
          </w:p>
        </w:tc>
      </w:tr>
      <w:tr>
        <w:tc>
          <w:tcPr>
            <w:tcW w:w="3000" w:type="dxa"/>
          </w:tcPr>
          <w:p>
            <w:pPr>
              <w:pStyle w:val="a1"/>
              <w:jc w:val="left"/>
            </w:pPr>
            <w:r>
              <w:rPr>
                <w:rFonts w:ascii="Times New Roman" w:hAnsi="Times New Roman" w:cs="Times New Roman"/>
                <w:sz w:val="24"/>
              </w:rPr>
              <w:t xml:space="preserve">Рисунок 4.3</w:t>
            </w:r>
          </w:p>
        </w:tc>
        <w:tc>
          <w:tcPr>
            <w:tcW w:w="3000" w:type="dxa"/>
          </w:tcPr>
          <w:p>
            <w:pPr>
              <w:pStyle w:val="a1"/>
              <w:jc w:val="left"/>
            </w:pPr>
            <w:r>
              <w:rPr>
                <w:rFonts w:ascii="Times New Roman" w:hAnsi="Times New Roman" w:cs="Times New Roman"/>
                <w:sz w:val="24"/>
              </w:rPr>
              <w:t xml:space="preserve">Кривые охват - предотвращенные дефолты</w:t>
            </w:r>
          </w:p>
        </w:tc>
        <w:tc>
          <w:tcPr>
            <w:tcW w:w="3000" w:type="dxa"/>
          </w:tcPr>
          <w:p>
            <w:pPr>
              <w:pStyle w:val="a1"/>
              <w:jc w:val="left"/>
            </w:pPr>
            <w:r>
              <w:rPr>
                <w:rFonts w:ascii="Times New Roman" w:hAnsi="Times New Roman" w:cs="Times New Roman"/>
                <w:sz w:val="24"/>
              </w:rPr>
              <w:t xml:space="preserve">policy_evaluation.ipynb</w:t>
            </w:r>
          </w:p>
        </w:tc>
      </w:tr>
    </w:tbl>
    <w:sectPr w:rsidR="00FB0644"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9982631">
    <w:abstractNumId w:val="8"/>
  </w:num>
  <w:num w:numId="2" w16cid:durableId="642009919">
    <w:abstractNumId w:val="6"/>
  </w:num>
  <w:num w:numId="3" w16cid:durableId="1464731167">
    <w:abstractNumId w:val="5"/>
  </w:num>
  <w:num w:numId="4" w16cid:durableId="520163266">
    <w:abstractNumId w:val="4"/>
  </w:num>
  <w:num w:numId="5" w16cid:durableId="466319726">
    <w:abstractNumId w:val="7"/>
  </w:num>
  <w:num w:numId="6" w16cid:durableId="1283222031">
    <w:abstractNumId w:val="3"/>
  </w:num>
  <w:num w:numId="7" w16cid:durableId="1930919578">
    <w:abstractNumId w:val="2"/>
  </w:num>
  <w:num w:numId="8" w16cid:durableId="749892070">
    <w:abstractNumId w:val="1"/>
  </w:num>
  <w:num w:numId="9" w16cid:durableId="143670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8F9"/>
    <w:rsid w:val="0015074B"/>
    <w:rsid w:val="0029639D"/>
    <w:rsid w:val="00326F90"/>
    <w:rsid w:val="00344ACD"/>
    <w:rsid w:val="00515B13"/>
    <w:rsid w:val="00683C17"/>
    <w:rsid w:val="00713B2D"/>
    <w:rsid w:val="00716F8B"/>
    <w:rsid w:val="008732D9"/>
    <w:rsid w:val="00AA1D8D"/>
    <w:rsid w:val="00B47730"/>
    <w:rsid w:val="00CB0664"/>
    <w:rsid w:val="00D76E77"/>
    <w:rsid w:val="00DB1814"/>
    <w:rsid w:val="00FB0644"/>
    <w:rsid w:val="00FC693F"/>
    <w:rsid w:val="00FF46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A0B3B"/>
  <w14:defaultImageDpi w14:val="300"/>
  <w15:docId w15:val="{56ACE991-0150-4BDD-B567-A38DFD72D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pPr>
    <w:rPr>
      <w:rFonts w:ascii="Courier New" w:eastAsia="Courier New" w:hAnsi="Courier New"/>
      <w:sz w:val="20"/>
    </w:rPr>
  </w:style>
  <w:style w:type="paragraph" w:styleId="14">
    <w:name w:val="toc 1"/>
    <w:basedOn w:val="a1"/>
    <w:next w:val="a1"/>
    <w:autoRedefine/>
    <w:uiPriority w:val="39"/>
    <w:unhideWhenUsed/>
    <w:rsid w:val="00683C17"/>
    <w:pPr>
      <w:spacing w:after="100"/>
    </w:pPr>
  </w:style>
  <w:style w:type="paragraph" w:styleId="2c">
    <w:name w:val="toc 2"/>
    <w:basedOn w:val="a1"/>
    <w:next w:val="a1"/>
    <w:autoRedefine/>
    <w:uiPriority w:val="39"/>
    <w:unhideWhenUsed/>
    <w:rsid w:val="00683C17"/>
    <w:pPr>
      <w:spacing w:after="100"/>
      <w:ind w:left="280"/>
    </w:pPr>
  </w:style>
  <w:style w:type="character" w:styleId="aff8">
    <w:name w:val="Hyperlink"/>
    <w:basedOn w:val="a2"/>
    <w:uiPriority w:val="99"/>
    <w:unhideWhenUsed/>
    <w:rsid w:val="00683C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59</Pages>
  <Words>12568</Words>
  <Characters>71642</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gatus sprei</cp:lastModifiedBy>
  <cp:revision>7</cp:revision>
  <dcterms:created xsi:type="dcterms:W3CDTF">2013-12-23T23:15:00Z</dcterms:created>
  <dcterms:modified xsi:type="dcterms:W3CDTF">2026-05-13T18:24:00Z</dcterms:modified>
  <cp:category/>
</cp:coreProperties>
</file>