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ELIMINAR DE FORMA PERMANENTE LA PARTIDA SI SE LA CANCELA</w:t>
      </w:r>
      <w:r w:rsidRPr="00031AF3">
        <w:rPr>
          <w:rFonts w:ascii="Consolas" w:hAnsi="Consolas" w:cs="Consolas"/>
          <w:b/>
          <w:sz w:val="24"/>
          <w:szCs w:val="24"/>
          <w:highlight w:val="yellow"/>
        </w:rPr>
        <w:t xml:space="preserve"> que al cargarse una Partida Cancelada, no aparezcan los botones habilitados para modificarla y una leyenda que indique “Cancelada”</w:t>
      </w:r>
    </w:p>
    <w:p w:rsidR="003144B9"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A22D7A" w:rsidRPr="00A163A2" w:rsidRDefault="00A22D7A"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A163A2">
        <w:rPr>
          <w:rFonts w:ascii="Consolas" w:hAnsi="Consolas" w:cs="Consolas"/>
          <w:b/>
          <w:sz w:val="24"/>
          <w:szCs w:val="24"/>
          <w:highlight w:val="yellow"/>
        </w:rPr>
        <w:t>Al eliminar un SolicDetalle hay que eliminar las relaciones de las cotiz con las PartidaDetalles (si hubiera), para poder eliminar las cotizaciones asociadas al SolicDetalle</w:t>
      </w:r>
      <w:r w:rsidR="00A163A2">
        <w:rPr>
          <w:rFonts w:ascii="Consolas" w:hAnsi="Consolas" w:cs="Consolas"/>
          <w:b/>
          <w:sz w:val="24"/>
          <w:szCs w:val="24"/>
          <w:highlight w:val="yellow"/>
        </w:rPr>
        <w:t>; o se puede dejar sin tocar las cotizaciones y eliminar solo la relación de las mismas con SolicDetalle; o eliminar el SolicDetalle, la relCotizSolicDet, la relCotizParDet y la PartidaDetalle</w:t>
      </w:r>
      <w:r w:rsidR="00F11319">
        <w:rPr>
          <w:rFonts w:ascii="Consolas" w:hAnsi="Consolas" w:cs="Consolas"/>
          <w:b/>
          <w:sz w:val="24"/>
          <w:szCs w:val="24"/>
          <w:highlight w:val="yellow"/>
        </w:rPr>
        <w:t>, y si hay una sola partidaDetalle, eliminar tmb la Partida</w:t>
      </w:r>
      <w:bookmarkStart w:id="0" w:name="_GoBack"/>
      <w:bookmarkEnd w:id="0"/>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736" w:rsidRDefault="00D01736" w:rsidP="00D5581E">
      <w:pPr>
        <w:spacing w:after="0" w:line="240" w:lineRule="auto"/>
      </w:pPr>
      <w:r>
        <w:separator/>
      </w:r>
    </w:p>
  </w:endnote>
  <w:endnote w:type="continuationSeparator" w:id="0">
    <w:p w:rsidR="00D01736" w:rsidRDefault="00D0173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736" w:rsidRDefault="00D01736" w:rsidP="00D5581E">
      <w:pPr>
        <w:spacing w:after="0" w:line="240" w:lineRule="auto"/>
      </w:pPr>
      <w:r>
        <w:separator/>
      </w:r>
    </w:p>
  </w:footnote>
  <w:footnote w:type="continuationSeparator" w:id="0">
    <w:p w:rsidR="00D01736" w:rsidRDefault="00D0173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163A2" w:rsidTr="007B3A7D">
      <w:trPr>
        <w:trHeight w:val="376"/>
      </w:trPr>
      <w:tc>
        <w:tcPr>
          <w:tcW w:w="8704" w:type="dxa"/>
          <w:gridSpan w:val="6"/>
        </w:tcPr>
        <w:p w:rsidR="00A163A2" w:rsidRDefault="00A163A2"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163A2" w:rsidTr="007B3A7D">
      <w:trPr>
        <w:trHeight w:val="225"/>
      </w:trPr>
      <w:tc>
        <w:tcPr>
          <w:tcW w:w="1085" w:type="dxa"/>
          <w:vMerge w:val="restart"/>
        </w:tcPr>
        <w:p w:rsidR="00A163A2" w:rsidRDefault="00A163A2"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163A2" w:rsidRPr="00B60ADA" w:rsidRDefault="00A163A2"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163A2" w:rsidRPr="00B60ADA" w:rsidRDefault="00A163A2"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163A2" w:rsidRPr="00B60ADA" w:rsidRDefault="00A163A2"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163A2" w:rsidTr="007B3A7D">
      <w:trPr>
        <w:trHeight w:val="236"/>
      </w:trPr>
      <w:tc>
        <w:tcPr>
          <w:tcW w:w="1085" w:type="dxa"/>
          <w:vMerge/>
        </w:tcPr>
        <w:p w:rsidR="00A163A2" w:rsidRDefault="00A163A2" w:rsidP="007B3A7D">
          <w:pPr>
            <w:pStyle w:val="Encabezado"/>
          </w:pPr>
        </w:p>
      </w:tc>
      <w:tc>
        <w:tcPr>
          <w:tcW w:w="4542" w:type="dxa"/>
          <w:gridSpan w:val="3"/>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163A2" w:rsidRPr="00B60ADA" w:rsidRDefault="00A163A2" w:rsidP="007B3A7D">
          <w:pPr>
            <w:pStyle w:val="Encabezado"/>
            <w:rPr>
              <w:rFonts w:ascii="Tahoma" w:eastAsia="Calibri" w:hAnsi="Tahoma" w:cs="Tahoma"/>
              <w:kern w:val="2"/>
              <w:sz w:val="18"/>
              <w:szCs w:val="18"/>
              <w:lang w:val="es-ES"/>
            </w:rPr>
          </w:pPr>
        </w:p>
      </w:tc>
    </w:tr>
    <w:tr w:rsidR="00A163A2" w:rsidTr="007B3A7D">
      <w:trPr>
        <w:trHeight w:val="269"/>
      </w:trPr>
      <w:tc>
        <w:tcPr>
          <w:tcW w:w="1085" w:type="dxa"/>
          <w:vMerge/>
        </w:tcPr>
        <w:p w:rsidR="00A163A2" w:rsidRDefault="00A163A2" w:rsidP="007B3A7D">
          <w:pPr>
            <w:pStyle w:val="Encabezado"/>
          </w:pPr>
        </w:p>
      </w:tc>
      <w:tc>
        <w:tcPr>
          <w:tcW w:w="1565" w:type="dxa"/>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163A2" w:rsidRPr="00B60ADA" w:rsidRDefault="00A163A2" w:rsidP="007B3A7D">
          <w:pPr>
            <w:pStyle w:val="Encabezado"/>
            <w:rPr>
              <w:rFonts w:ascii="Tahoma" w:eastAsia="Calibri" w:hAnsi="Tahoma" w:cs="Tahoma"/>
              <w:kern w:val="2"/>
              <w:sz w:val="18"/>
              <w:szCs w:val="18"/>
              <w:lang w:val="es-ES"/>
            </w:rPr>
          </w:pPr>
        </w:p>
      </w:tc>
    </w:tr>
    <w:tr w:rsidR="00A163A2" w:rsidTr="007B3A7D">
      <w:trPr>
        <w:trHeight w:val="247"/>
      </w:trPr>
      <w:tc>
        <w:tcPr>
          <w:tcW w:w="1085" w:type="dxa"/>
          <w:vMerge/>
        </w:tcPr>
        <w:p w:rsidR="00A163A2" w:rsidRDefault="00A163A2" w:rsidP="007B3A7D">
          <w:pPr>
            <w:pStyle w:val="Encabezado"/>
          </w:pPr>
        </w:p>
      </w:tc>
      <w:tc>
        <w:tcPr>
          <w:tcW w:w="6297" w:type="dxa"/>
          <w:gridSpan w:val="4"/>
        </w:tcPr>
        <w:p w:rsidR="00A163A2" w:rsidRPr="00F12021" w:rsidRDefault="00A163A2"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163A2" w:rsidRPr="00B60ADA" w:rsidRDefault="00A163A2"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163A2" w:rsidTr="007B3A7D">
      <w:trPr>
        <w:trHeight w:val="228"/>
      </w:trPr>
      <w:tc>
        <w:tcPr>
          <w:tcW w:w="1085" w:type="dxa"/>
          <w:vMerge/>
        </w:tcPr>
        <w:p w:rsidR="00A163A2" w:rsidRDefault="00A163A2" w:rsidP="007B3A7D">
          <w:pPr>
            <w:pStyle w:val="Encabezado"/>
          </w:pPr>
        </w:p>
      </w:tc>
      <w:tc>
        <w:tcPr>
          <w:tcW w:w="6297" w:type="dxa"/>
          <w:gridSpan w:val="4"/>
        </w:tcPr>
        <w:p w:rsidR="00A163A2" w:rsidRPr="00B60ADA" w:rsidRDefault="00A163A2"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163A2" w:rsidRPr="00B60ADA" w:rsidRDefault="00A163A2" w:rsidP="007B3A7D">
          <w:pPr>
            <w:pStyle w:val="Encabezado"/>
            <w:rPr>
              <w:rFonts w:ascii="Tahoma" w:eastAsia="Calibri" w:hAnsi="Tahoma" w:cs="Tahoma"/>
              <w:kern w:val="2"/>
              <w:sz w:val="18"/>
              <w:szCs w:val="18"/>
              <w:lang w:val="es-ES"/>
            </w:rPr>
          </w:pPr>
        </w:p>
      </w:tc>
    </w:tr>
  </w:tbl>
  <w:p w:rsidR="00A163A2" w:rsidRDefault="00A163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014A8-3FA2-4455-AEFA-7CE733B5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38723</TotalTime>
  <Pages>1</Pages>
  <Words>7482</Words>
  <Characters>41151</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570</cp:revision>
  <dcterms:created xsi:type="dcterms:W3CDTF">2017-04-26T22:32:00Z</dcterms:created>
  <dcterms:modified xsi:type="dcterms:W3CDTF">2018-10-24T02:50:00Z</dcterms:modified>
</cp:coreProperties>
</file>