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89114F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02346B">
        <w:rPr>
          <w:rFonts w:ascii="Arial" w:hAnsi="Arial" w:cs="Arial"/>
          <w:b/>
          <w:highlight w:val="yellow"/>
        </w:rPr>
        <w:t>5.2.1.1</w:t>
      </w:r>
      <w:r>
        <w:rPr>
          <w:rFonts w:ascii="Arial" w:hAnsi="Arial" w:cs="Arial"/>
          <w:b/>
        </w:rPr>
        <w:t xml:space="preserve"> </w:t>
      </w:r>
      <w:r w:rsidR="004B183D">
        <w:rPr>
          <w:rFonts w:ascii="Arial" w:hAnsi="Arial" w:cs="Arial"/>
          <w:b/>
        </w:rPr>
        <w:t>SC002</w:t>
      </w:r>
      <w:r w:rsidR="00911326">
        <w:rPr>
          <w:rFonts w:ascii="Arial" w:hAnsi="Arial" w:cs="Arial"/>
          <w:b/>
        </w:rPr>
        <w:t xml:space="preserve"> </w:t>
      </w:r>
      <w:r w:rsidR="004B183D">
        <w:rPr>
          <w:rFonts w:ascii="Arial" w:hAnsi="Arial" w:cs="Arial"/>
          <w:b/>
        </w:rPr>
        <w:t xml:space="preserve">- </w:t>
      </w:r>
      <w:r w:rsidR="00911326">
        <w:rPr>
          <w:rFonts w:ascii="Arial" w:hAnsi="Arial" w:cs="Arial"/>
          <w:b/>
        </w:rPr>
        <w:t>Buscar Solicitud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bookmarkStart w:id="0" w:name="_GoBack"/>
      <w:bookmarkEnd w:id="0"/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27708E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 w:rsidRPr="0027708E">
              <w:rPr>
                <w:rFonts w:ascii="Arial" w:hAnsi="Arial" w:cs="Arial"/>
                <w:color w:val="000000"/>
              </w:rPr>
              <w:t>No existen pre-condiciones previas a la ejecución del proceso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ingresa texto en los campos y/o selecciona las opciones disponibles por las que desea buscar: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Solicitud</w:t>
            </w:r>
            <w:r w:rsid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(Solo números)</w:t>
            </w:r>
          </w:p>
          <w:p w:rsidR="004A29D7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color w:val="000000"/>
                <w:lang w:eastAsia="es-AR"/>
              </w:rPr>
              <w:t>Nombre de Dependencia</w:t>
            </w:r>
          </w:p>
          <w:p w:rsidR="00582B9A" w:rsidRPr="004A29D7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4A29D7">
              <w:rPr>
                <w:rFonts w:ascii="Arial" w:eastAsia="Times New Roman" w:hAnsi="Arial" w:cs="Arial"/>
                <w:color w:val="000000"/>
                <w:lang w:eastAsia="es-AR"/>
              </w:rPr>
              <w:t>Nombre de Bien</w:t>
            </w:r>
            <w:r w:rsidR="004A29D7" w:rsidRPr="004A29D7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Estado de la Solicitud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Prioridad de la Solicitud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Usuario Asignado</w:t>
            </w:r>
          </w:p>
          <w:p w:rsid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Rango de Fecha de Creación (Desde - Hasta)</w:t>
            </w:r>
          </w:p>
          <w:p w:rsidR="00582B9A" w:rsidRPr="00582B9A" w:rsidRDefault="00582B9A" w:rsidP="00582B9A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Rango de Fecha de Finalización (Desde - Hasta)</w:t>
            </w:r>
          </w:p>
          <w:p w:rsidR="00582B9A" w:rsidRDefault="00BC579B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82B9A"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582B9A" w:rsidRP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realiza la búsqueda filtrando según los datos ingresados y muest</w:t>
            </w:r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ra los resultados obtenidos (</w:t>
            </w:r>
            <w:proofErr w:type="spellStart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>Nro</w:t>
            </w:r>
            <w:proofErr w:type="spellEnd"/>
            <w:r w:rsidR="00582B9A">
              <w:rPr>
                <w:rFonts w:ascii="Arial" w:eastAsia="Times New Roman" w:hAnsi="Arial" w:cs="Arial"/>
                <w:color w:val="000000"/>
                <w:lang w:eastAsia="es-AR"/>
              </w:rPr>
              <w:t xml:space="preserve"> de Solicitud, Nombre de Dependencia, Fecha de creación, Fecha de finalización, Prioridad de la Solicitud, Estado de la Solicitud, Usuario asignado, Agente responsable de la Solicitud)</w:t>
            </w:r>
          </w:p>
          <w:p w:rsidR="00772512" w:rsidRPr="008C366C" w:rsidRDefault="00772512" w:rsidP="00772512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29D7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4A29D7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AR"/>
              </w:rPr>
              <w:t>:</w:t>
            </w:r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 </w:t>
            </w:r>
            <w:r w:rsidR="004A29D7"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2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No se </w:t>
            </w:r>
            <w:r w:rsidR="004A29D7"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ingresó ningún dato para la búsqueda</w:t>
            </w:r>
          </w:p>
          <w:p w:rsidR="004A29D7" w:rsidRPr="008C366C" w:rsidRDefault="004A29D7" w:rsidP="004A29D7">
            <w:pPr>
              <w:spacing w:after="0" w:line="240" w:lineRule="auto"/>
              <w:ind w:left="108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Alternate</w:t>
            </w:r>
            <w:proofErr w:type="spellEnd"/>
            <w:r w:rsidRPr="008C366C">
              <w:rPr>
                <w:rFonts w:ascii="Arial" w:eastAsia="Times New Roman" w:hAnsi="Arial" w:cs="Arial"/>
                <w:i/>
                <w:iCs/>
                <w:color w:val="000000"/>
                <w:lang w:eastAsia="es-AR"/>
              </w:rPr>
              <w:t>: </w:t>
            </w:r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2-b. Se ingresó un carácter distinto de un número en el campo </w:t>
            </w:r>
            <w:proofErr w:type="spellStart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>Nro</w:t>
            </w:r>
            <w:proofErr w:type="spellEnd"/>
            <w:r w:rsidRPr="008C366C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Solicitud</w:t>
            </w:r>
          </w:p>
          <w:p w:rsidR="0089114F" w:rsidRPr="003E491C" w:rsidRDefault="0089114F" w:rsidP="00D76713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>2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-a. No se ingresó ningún dato para la búsqueda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“No hay resultados”</w:t>
            </w:r>
          </w:p>
          <w:p w:rsidR="004A29D7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</w:p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772512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</w:t>
            </w:r>
            <w:r w:rsidR="00F75215">
              <w:rPr>
                <w:rFonts w:ascii="Arial" w:eastAsia="Times New Roman" w:hAnsi="Arial" w:cs="Arial"/>
                <w:b/>
                <w:color w:val="000000"/>
                <w:lang w:eastAsia="es-AR"/>
              </w:rPr>
              <w:t>2-b. Se ingres</w:t>
            </w:r>
            <w:r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ó un carácter distinto de un número </w:t>
            </w:r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en el campo </w:t>
            </w:r>
            <w:proofErr w:type="spellStart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>Nro</w:t>
            </w:r>
            <w:proofErr w:type="spellEnd"/>
            <w:r w:rsidRPr="004A29D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 Solicitud</w:t>
            </w:r>
          </w:p>
          <w:p w:rsidR="004A29D7" w:rsidRPr="00772512" w:rsidRDefault="004A29D7" w:rsidP="004A29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1. El sistema muestra el mensaje “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>Solo se aceptan números</w:t>
            </w: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>”</w:t>
            </w:r>
          </w:p>
          <w:p w:rsidR="00F50E18" w:rsidRPr="00E61402" w:rsidRDefault="004A29D7" w:rsidP="00814E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2. Se vuelve al punto 1 del flujo principal </w:t>
            </w:r>
            <w:r w:rsidR="00AF461B" w:rsidRPr="00772512">
              <w:rPr>
                <w:rFonts w:ascii="Arial" w:eastAsia="Times New Roman" w:hAnsi="Arial" w:cs="Arial"/>
                <w:color w:val="000000"/>
                <w:lang w:eastAsia="es-AR"/>
              </w:rPr>
              <w:t xml:space="preserve"> 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431BD3"/>
    <w:rsid w:val="00434DCE"/>
    <w:rsid w:val="004A29D7"/>
    <w:rsid w:val="004B183D"/>
    <w:rsid w:val="00500387"/>
    <w:rsid w:val="00544517"/>
    <w:rsid w:val="00582B9A"/>
    <w:rsid w:val="005C7D51"/>
    <w:rsid w:val="00630CB4"/>
    <w:rsid w:val="006D49DC"/>
    <w:rsid w:val="006D6A98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E464F"/>
    <w:rsid w:val="009E6585"/>
    <w:rsid w:val="009F5AA2"/>
    <w:rsid w:val="00AF461B"/>
    <w:rsid w:val="00B01891"/>
    <w:rsid w:val="00BC579B"/>
    <w:rsid w:val="00BD718C"/>
    <w:rsid w:val="00D179AF"/>
    <w:rsid w:val="00D76713"/>
    <w:rsid w:val="00E61402"/>
    <w:rsid w:val="00F22A4B"/>
    <w:rsid w:val="00F50E18"/>
    <w:rsid w:val="00F75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1</Pages>
  <Words>203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38</cp:revision>
  <dcterms:created xsi:type="dcterms:W3CDTF">2019-02-11T22:29:00Z</dcterms:created>
  <dcterms:modified xsi:type="dcterms:W3CDTF">2019-02-28T03:14:00Z</dcterms:modified>
</cp:coreProperties>
</file>