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Mid-Day Close — Thursday, June 11, 2026</w:t>
      </w:r>
    </w:p>
    <w:p>
      <w:pPr>
        <w:spacing w:after="140"/>
      </w:pPr>
      <w:r>
        <w:rPr>
          <w:i/>
          <w:iCs/>
        </w:rPr>
        <w:t xml:space="preserve">Lozano Legal Advisors, PLLC  |  Lozano Business Build</w:t>
      </w:r>
    </w:p>
    <w:p>
      <w:pPr>
        <w:spacing w:after="140"/>
      </w:pPr>
      <w:r>
        <w:rPr>
          <w:i/>
          <w:iCs/>
        </w:rPr>
        <w:t xml:space="preserve">Session: Contact form discrepancy closed, phone-only intake shipped, nav v5 deployed (mobile menu + Practice Areas dropdown), Company Page stocked, marketing plan set</w:t>
      </w:r>
    </w:p>
    <w:p>
      <w:pPr>
        <w:spacing w:after="140"/>
      </w:pPr>
      <w:r>
        <w:rPr>
          <w:i/>
          <w:iCs/>
        </w:rPr>
        <w:t xml:space="preserve">Note: Mid-day close — Norris driving to Kathryn’s this afternoon; session may or may not resume this evening. If work resumes, an evening close supersedes this document.</w:t>
      </w:r>
    </w:p>
    <w:p>
      <w:pPr>
        <w:pStyle w:val="Heading1"/>
      </w:pPr>
      <w:r>
        <w:t xml:space="preserve">I. State of Play</w:t>
      </w:r>
    </w:p>
    <w:p>
      <w:pPr>
        <w:spacing w:after="140"/>
      </w:pPr>
      <w:r>
        <w:rPr>
          <w:i w:val="false"/>
          <w:iCs w:val="false"/>
        </w:rPr>
        <w:t xml:space="preserve">Today was the day the conversion infrastructure caught up with the content. Every blocking item from the June 9–10 record was closed before mid-afternoon: the contact form discrepancy is settled (live, proven end to end twice), phone-only intake is shipped on both layers, nav v5 is deployed across all 18 nav-bearing pages — the broken mobile menu, the top site priority from the Dallas Miles review, is dead — and the LinkedIn Company Page went from empty to stocked with its first two posts.</w:t>
      </w:r>
    </w:p>
    <w:p>
      <w:pPr>
        <w:spacing w:after="140"/>
      </w:pPr>
      <w:r>
        <w:rPr>
          <w:i w:val="false"/>
          <w:iCs w:val="false"/>
        </w:rPr>
        <w:t xml:space="preserve">The contact form discrepancy resolved in two stages. A live test submission this morning confirmed the chain (form → Turnstile → Worker → D1 → Graph email to norris@). A false alarm followed — a stale cached fetch of contact.html showed an old mailto: version — but direct retrieval of main confirmed repo and live site in sync: Worker-backed form, current nav, nine-option practice dropdown. Status: CLOSED, verified 6-11-2026.</w:t>
      </w:r>
    </w:p>
    <w:p>
      <w:pPr>
        <w:spacing w:after="140"/>
      </w:pPr>
      <w:r>
        <w:rPr>
          <w:i w:val="false"/>
          <w:iCs w:val="false"/>
        </w:rPr>
        <w:t xml:space="preserve">Phone-only intake shipped on Norris’s observation that an anxious Tax Resolution caller may want to leave only a number. Worker v2.2 deployed (validation now name + email-or-phone, message optional, reply-to conditional on email present; dead buildTextBody removed). contact.html updated to match: required dropped from email/phone/message, “provide at least one” hint added, client-side either-or check added. End-to-end retest with phone-only submission: PASSED.</w:t>
      </w:r>
    </w:p>
    <w:p>
      <w:pPr>
        <w:spacing w:after="140"/>
      </w:pPr>
      <w:r>
        <w:rPr>
          <w:i w:val="false"/>
          <w:iCs w:val="false"/>
        </w:rPr>
        <w:t xml:space="preserve">Nav v5: regenerated fresh from current live files (the stale June 10 build set was discarded per the reconstruction’s warning — the live baseline had changed twice today). Desktop: Home mark / About / Fractional General Counsel (full label — decision A, locked) / Practice Areas dropdown (7 practice pages) / Insights / Contact CTA. Mobile: working hamburger, slide-down menu, Practice Areas accordion. Per-page active states preserved, breakpoints per page (860/960) respected. Deployed in two batches (14 root + 4 insights), every file verified byte-identical against the build. Mobile test on Norris’s phone: PASSED.</w:t>
      </w:r>
    </w:p>
    <w:p>
      <w:pPr>
        <w:spacing w:after="140"/>
      </w:pPr>
      <w:r>
        <w:rPr>
          <w:i w:val="false"/>
          <w:iCs w:val="false"/>
        </w:rPr>
        <w:t xml:space="preserve">LinkedIn: the record was stale — Part 4 and a personal Medicaid post (“Spending down to nothing is not the law”) had both already gone live from the personal profile June 10. Today the Company Page was stocked: Elder Law &amp; Medicaid Planning announcement in firm voice (contact-page CTA, no phone CTA, practice presented as established — both per Norris’s corrections), then reposted to personal with a one-line intro; and a page share of Part 4 with the embedded post card. Strategy locked: personal profile is the primary channel permanently (3,300+ connections, ~2,000 CPAs); the page is a credentials exhibit — stocked, linked from Experience, no ongoing cadence obligation.</w:t>
      </w:r>
    </w:p>
    <w:p>
      <w:pPr>
        <w:pStyle w:val="Heading1"/>
      </w:pPr>
      <w:r>
        <w:t xml:space="preserve">II. What Changed Today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Contact form discrepancy (May 26 vs June 9 record): CLOSED — live and verified end to end, twice.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Worker lozano-contact-form v2.2 deployed: phone-only submissions accepted; message optional; email validated only when provided; conditional reply-to.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contact.html deployed: email/phone either-or (hint text added), message optional, client-side check; committed and verified byte-identical.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 v5 deployed across 18 pages: mobile hamburger menu live (top Dallas Miles priority CLOSED), Practice Areas dropdown live, Fractional General Counsel full label standalone (decision locked: full name).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LinkedIn Company Page stocked: Elder Law announcement (firm voice) + Part 4 share with embedded card. Personal repost of the page’s Elder Law post with one-line intro.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Comment control on the repost confirmed set to Anyone.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Channel strategy locked: personal profile primary; Company Page is a credentials shelf, not a cadence commitment.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Referral-fee question resolved: NO referral fees to CPAs or attorneys — Texas Disciplinary Rule 7.03(b) prohibits paying for referrals (narrow exceptions); Rule 1.04(f) fee division and disclosed non-exclusive reciprocal arrangements under 7.03(b)(4) are the lawful structures. CPA referral economy runs on reciprocity (client returns to the CPA), not money. The Transcript Analysis offer needs no payments.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Marketing priority stack set (time-to-revenue order): 1) Google Business Profile verification, 2) Local Services Ads evaluation, 3) directory citations (State Bar profile, Avvo, Justia, FindLaw), 4) schema markup, 5) standalone Transcript Analysis page, 6) referral page + one-page PDF, 7) Code Counsel/LinkedIn cadence (18–36 month loop), 8) TXCPA Dallas chapter — one event/month.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Operations layer identified: intake response SLA (phone notification for intake emails; under an hour for acute-pain buyers), engagement-letter pipeline (template, payment rail, Form 2848 readiness) to be built BEFORE leads arrive, Google reviews ask from first completed Transcript Analysis.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Books recommended re: work philosophy in the AI era: Shop Class as Soulcraft (Crawford); The AI Mirror (Vallor).</w:t>
      </w:r>
    </w:p>
    <w:p>
      <w:pPr>
        <w:pStyle w:val="Heading1"/>
      </w:pPr>
      <w:r>
        <w:t xml:space="preserve">III. Files Produced or Updated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worker.js v2.2 — deployed to Cloudflare Worker lozano-contact-form (pasted via editor, Deploy confirmed). Copy saved in OneDrive web build folder.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contact.html — phone-only intake version, committed to main, verified.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 v5 Build 6-11-2026.zip — 18 transformed HTML files (14 root + 4 insights), saved to OneDrive web build folder, extracted, deployed in two batches, every file verified byte-identical on main.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Daily Close 6-9-2026.docx — uploaded to this chat at session start and verified; NOT yet in the project Files panel (chat upload does not persist there). Still owed to: project Files, GitHub lozano-strategy, OneDrive (if not already filed).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Mid-Day Close 6-11-2026.docx — this document. Triple-home: OneDrive / GitHub lozanon/lozano-strategy / Claude project Files.</w:t>
      </w:r>
    </w:p>
    <w:p>
      <w:pPr>
        <w:pStyle w:val="Heading1"/>
      </w:pPr>
      <w:r>
        <w:t xml:space="preserve">IV. Blockers and Open Decisions</w:t>
      </w:r>
    </w:p>
    <w:p>
      <w:pPr>
        <w:pStyle w:val="Heading2"/>
      </w:pPr>
      <w:r>
        <w:t xml:space="preserve">Tomorrow — first action (logged at Norris’s direction)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Tax Resolution credentials pass, step by step: PTIN renewal/verification, CAF number current, IRS e-Services access (Transcript Delivery System — the engine under the $105 Transcript Analysis), payment-rail details as relevant.</w:t>
      </w:r>
    </w:p>
    <w:p>
      <w:pPr>
        <w:pStyle w:val="Heading2"/>
      </w:pPr>
      <w:r>
        <w:t xml:space="preserve">Logged for tomorrow/later (Norris’s direction)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LinkedIn connections export (Settings → Data privacy → Get a copy of your data → Connections) → Claude segments 3,300+ into CPA/EA, attorneys, Dallas business owners, NMTC-world → DM campaign: 5/day quota, three message templates (Transcript Analysis offer to CPAs with client-returns framing; Fractional GC scarcity note to prior-identity contacts; engagement routine 20 min/day).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Business Profile setup and verification — top of marketing stack.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Reply to Charles Hoffman’s comment on Part 4 (and the comment on the page’s Elder Law post).</w:t>
      </w:r>
    </w:p>
    <w:p>
      <w:pPr>
        <w:pStyle w:val="Heading2"/>
      </w:pPr>
      <w:r>
        <w:t xml:space="preserve">Open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Dallas Miles note: final no-ask version drafted (report of execution: series wrapped, page stocked, mobile menu fixed, her nav restructure live). Norris approved direction; SEND STATUS UNCONFIRMED at close — confirm before re-drafting anything.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Company Page banner: still the default green; the prepared PNG (Lozano Legal Advisors LinkedIn Banner, June 10, OneDrive web build folder) was NOT uploaded — the flow detoured into posting. Quick item next LinkedIn session.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Daily Close 6-9-2026.docx into project Files panel + triple-home completion.</w:t>
      </w:r>
    </w:p>
    <w:p>
      <w:pPr>
        <w:pStyle w:val="Heading2"/>
      </w:pPr>
      <w:r>
        <w:t xml:space="preserve">Standing carry-forwards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Representative Matters page (anonymized real matters only). White Paper #2 (“What Happened”). Professional photography. Cloudflare account migration to firm email (deferred). TXdocs research before outreach. Clio Grow eval Q3/Q4. E&amp;O re-evaluation at first meaningful client (unblocks document services).</w:t>
      </w:r>
    </w:p>
    <w:p>
      <w:pPr>
        <w:pStyle w:val="Heading2"/>
      </w:pPr>
      <w:r>
        <w:t xml:space="preserve">Time-bound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client secret expires November 17, 2026 — calendar renewal.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with Gemini XPRIZE — mid-August 2026 deadline; monthly arms-length revenue through August 17. The Transcript Analysis funnel is the revenue stream that satisfies the requirement — GBP/LSA/DM campaign feed it directly.</w:t>
      </w:r>
    </w:p>
    <w:p>
      <w:pPr>
        <w:pStyle w:val="Heading1"/>
      </w:pPr>
      <w:r>
        <w:t xml:space="preserve">V. Style Rules and Banned Words in Force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“solo” or “small” as size descriptors. “Attorney” alone is sufficient.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“30+ years,” never a year count, never “decades.” Always “transactional attorney,” never “litigator.”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$750M. Canonical: $350M fund, $180M NMTC, $1.1B+ transactions. Live CV is authoritative.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“Harvard-trained” (correct: “Harvard Innovations semifinalist”). NEVER “Texas Tax Court.” NEVER “Texas Code of Professional Responsibility” (it is the Texas Disciplinary Rules of Professional Conduct).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IRS representation “slows,” never “stops.” AI document services: “drafts, reviews, and takes professional responsibility for” — never “signs.” Byline: “By Norris Lozano, [Practice-Area] Attorney” — no Esq., no J.D.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fabricated testimonials, no invented client scenarios, no AI-generated portraits.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this session: “new/newest” avoided when describing the Elder Law practice in marketing copy (implies inexperience); CTA preference is the contact page over phone in firm-voice posts; no answering service until missed-call volume justifies it (phone-only form intake covers after-hours).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Name-collision watch: “Dallas” = the city and Dallas Miles. Write with disambiguating context.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Filenames: normal capitalization with spaces, date M-D-YYYY, no underscores.</w:t>
      </w:r>
    </w:p>
    <w:p>
      <w:pPr>
        <w:pStyle w:val="Heading1"/>
      </w:pPr>
      <w:r>
        <w:t xml:space="preserve">VI. Strategic Frame</w:t>
      </w:r>
    </w:p>
    <w:p>
      <w:pPr>
        <w:spacing w:after="140"/>
      </w:pPr>
      <w:r>
        <w:rPr>
          <w:i w:val="false"/>
          <w:iCs w:val="false"/>
        </w:rPr>
        <w:t xml:space="preserve">The leak is fixed, so the faucet turns on. Every conversion-blocking defect identified since June 9 was closed before 3 PM: the form takes the anxious caller’s phone number, the mobile menu works on the device most clients hold, and the firm’s LinkedIn shelf no longer reads as empty. That sequence — infrastructure before traffic — was the discipline the Dallas Miles review imposed, and it held.</w:t>
      </w:r>
    </w:p>
    <w:p>
      <w:pPr>
        <w:spacing w:after="140"/>
      </w:pPr>
      <w:r>
        <w:rPr>
          <w:i w:val="false"/>
          <w:iCs w:val="false"/>
        </w:rPr>
        <w:t xml:space="preserve">What changed strategically today is the admission that content alone will not ring the phone this quarter. At 148 impressions a post, the authority loop is compounding but slow — exactly the 18–36 month design. Near-term revenue now runs through three direct channels: Google Business Profile (intercepting people searching with an IRS letter in hand), the CPA DM campaign built on the firm’s structural advantage (no accounting practice — every client returns to the referring CPA), and the reactivated prior-identity network for Fractional GC. No referral fees — the rules prohibit them and the economics never needed them.</w:t>
      </w:r>
    </w:p>
    <w:p>
      <w:pPr>
        <w:spacing w:after="140"/>
      </w:pPr>
      <w:r>
        <w:rPr>
          <w:i w:val="false"/>
          <w:iCs w:val="false"/>
        </w:rPr>
        <w:t xml:space="preserve">The Lawyer Developer claim was also calibrated today, at Norris’s request, against observed evidence: system-owner level — production serverless infrastructure, database, API permission grants, deploy pipeline, all operated personally — not software-engineer level, and that distinction is the marketing position’s armor. Claim it accurately and it is unassailable. Five items shipped before mid-afternoon; the Compressed Decade keeps applying to its own author. The calendar is the argument.</w:t>
      </w:r>
    </w:p>
    <w:p>
      <w:pPr>
        <w:spacing w:before="240"/>
      </w:pPr>
      <w:r>
        <w:rPr>
          <w:i/>
          <w:iCs/>
        </w:rPr>
        <w:t xml:space="preserve">— Prepared by Claude at mid-day close. Lozano Legal Advisors, PLLC. File to triple-home: OneDrive / GitHub (lozanon/lozano-strategy) / Claude project (Lozano Business Build).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2026-06-11T17:11:32.021Z</dcterms:created>
  <dcterms:modified xsi:type="dcterms:W3CDTF">2026-06-11T17:11:32.021Z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