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Times New Roman" w:hAnsi="Times New Roman"/>
          <w:b/>
          <w:i w:val="0"/>
          <w:color w:val="1B4280"/>
          <w:sz w:val="36"/>
        </w:rPr>
        <w:t>POLÍTICA DE CONTENIDOS Y METODOLOGÍA DE VALIDACIÓN</w:t>
      </w:r>
    </w:p>
    <w:p>
      <w:pPr>
        <w:jc w:val="center"/>
      </w:pPr>
      <w:r>
        <w:rPr>
          <w:rFonts w:ascii="Times New Roman" w:hAnsi="Times New Roman"/>
          <w:b/>
          <w:i w:val="0"/>
          <w:color w:val="3C3C3C"/>
          <w:sz w:val="28"/>
        </w:rPr>
        <w:t>CSUR Sarcomas App</w:t>
      </w:r>
    </w:p>
    <w:p>
      <w:pPr>
        <w:jc w:val="center"/>
      </w:pPr>
      <w:r>
        <w:rPr>
          <w:rFonts w:ascii="Times New Roman" w:hAnsi="Times New Roman"/>
          <w:b w:val="0"/>
          <w:i/>
          <w:sz w:val="24"/>
        </w:rPr>
        <w:t>Hospital General Universitario Gregorio Marañón</w:t>
        <w:br/>
        <w:t>Comité Multidisciplinar CSUR de Sarcomas y Tumores Musculoesqueléticos</w:t>
      </w:r>
    </w:p>
    <w:p/>
    <w:tbl>
      <w:tblPr>
        <w:tblStyle w:val="TableGrid"/>
        <w:tblW w:type="auto" w:w="0"/>
        <w:tblLook w:firstColumn="1" w:firstRow="1" w:lastColumn="0" w:lastRow="0" w:noHBand="0" w:noVBand="1" w:val="04A0"/>
      </w:tblPr>
      <w:tblGrid>
        <w:gridCol w:w="2835"/>
        <w:gridCol w:w="5669"/>
      </w:tblGrid>
      <w:tr>
        <w:tc>
          <w:tcPr>
            <w:tcW w:type="dxa" w:w="2835"/>
          </w:tcPr>
          <w:p>
            <w:r>
              <w:rPr>
                <w:rFonts w:ascii="Times New Roman" w:hAnsi="Times New Roman"/>
                <w:b/>
                <w:i w:val="0"/>
                <w:sz w:val="20"/>
              </w:rPr>
              <w:t>Documento</w:t>
            </w:r>
          </w:p>
        </w:tc>
        <w:tc>
          <w:tcPr>
            <w:tcW w:type="dxa" w:w="5669"/>
          </w:tcPr>
          <w:p>
            <w:r>
              <w:rPr>
                <w:rFonts w:ascii="Times New Roman" w:hAnsi="Times New Roman"/>
                <w:b w:val="0"/>
                <w:i w:val="0"/>
                <w:sz w:val="20"/>
              </w:rPr>
              <w:t>Política de Validación de Contenidos Clínicos</w:t>
            </w:r>
          </w:p>
        </w:tc>
      </w:tr>
      <w:tr>
        <w:tc>
          <w:tcPr>
            <w:tcW w:type="dxa" w:w="2835"/>
          </w:tcPr>
          <w:p>
            <w:r>
              <w:rPr>
                <w:rFonts w:ascii="Times New Roman" w:hAnsi="Times New Roman"/>
                <w:b/>
                <w:i w:val="0"/>
                <w:sz w:val="20"/>
              </w:rPr>
              <w:t>Aplicación</w:t>
            </w:r>
          </w:p>
        </w:tc>
        <w:tc>
          <w:tcPr>
            <w:tcW w:type="dxa" w:w="5669"/>
          </w:tcPr>
          <w:p>
            <w:r>
              <w:rPr>
                <w:rFonts w:ascii="Times New Roman" w:hAnsi="Times New Roman"/>
                <w:b w:val="0"/>
                <w:i w:val="0"/>
                <w:sz w:val="20"/>
              </w:rPr>
              <w:t>CSUR Sarcomas App v1.1.0</w:t>
            </w:r>
          </w:p>
        </w:tc>
      </w:tr>
      <w:tr>
        <w:tc>
          <w:tcPr>
            <w:tcW w:type="dxa" w:w="2835"/>
          </w:tcPr>
          <w:p>
            <w:r>
              <w:rPr>
                <w:rFonts w:ascii="Times New Roman" w:hAnsi="Times New Roman"/>
                <w:b/>
                <w:i w:val="0"/>
                <w:sz w:val="20"/>
              </w:rPr>
              <w:t>Centro</w:t>
            </w:r>
          </w:p>
        </w:tc>
        <w:tc>
          <w:tcPr>
            <w:tcW w:type="dxa" w:w="5669"/>
          </w:tcPr>
          <w:p>
            <w:r>
              <w:rPr>
                <w:rFonts w:ascii="Times New Roman" w:hAnsi="Times New Roman"/>
                <w:b w:val="0"/>
                <w:i w:val="0"/>
                <w:sz w:val="20"/>
              </w:rPr>
              <w:t>H.G.U. Gregorio Marañón — Madrid, España</w:t>
            </w:r>
          </w:p>
        </w:tc>
      </w:tr>
      <w:tr>
        <w:tc>
          <w:tcPr>
            <w:tcW w:type="dxa" w:w="2835"/>
          </w:tcPr>
          <w:p>
            <w:r>
              <w:rPr>
                <w:rFonts w:ascii="Times New Roman" w:hAnsi="Times New Roman"/>
                <w:b/>
                <w:i w:val="0"/>
                <w:sz w:val="20"/>
              </w:rPr>
              <w:t>Responsable</w:t>
            </w:r>
          </w:p>
        </w:tc>
        <w:tc>
          <w:tcPr>
            <w:tcW w:type="dxa" w:w="5669"/>
          </w:tcPr>
          <w:p>
            <w:r>
              <w:rPr>
                <w:rFonts w:ascii="Times New Roman" w:hAnsi="Times New Roman"/>
                <w:b w:val="0"/>
                <w:i w:val="0"/>
                <w:sz w:val="20"/>
              </w:rPr>
              <w:t>Dr. Pablo Lozano Lominchar — Cirujano Oncológico</w:t>
            </w:r>
          </w:p>
        </w:tc>
      </w:tr>
      <w:tr>
        <w:tc>
          <w:tcPr>
            <w:tcW w:type="dxa" w:w="2835"/>
          </w:tcPr>
          <w:p>
            <w:r>
              <w:rPr>
                <w:rFonts w:ascii="Times New Roman" w:hAnsi="Times New Roman"/>
                <w:b/>
                <w:i w:val="0"/>
                <w:sz w:val="20"/>
              </w:rPr>
              <w:t>Cargo</w:t>
            </w:r>
          </w:p>
        </w:tc>
        <w:tc>
          <w:tcPr>
            <w:tcW w:type="dxa" w:w="5669"/>
          </w:tcPr>
          <w:p>
            <w:r>
              <w:rPr>
                <w:rFonts w:ascii="Times New Roman" w:hAnsi="Times New Roman"/>
                <w:b w:val="0"/>
                <w:i w:val="0"/>
                <w:sz w:val="20"/>
              </w:rPr>
              <w:t>CSUR Sarcomas HGUGM · MSKCC Fellow 2024–25</w:t>
            </w:r>
          </w:p>
        </w:tc>
      </w:tr>
      <w:tr>
        <w:tc>
          <w:tcPr>
            <w:tcW w:type="dxa" w:w="2835"/>
          </w:tcPr>
          <w:p>
            <w:r>
              <w:rPr>
                <w:rFonts w:ascii="Times New Roman" w:hAnsi="Times New Roman"/>
                <w:b/>
                <w:i w:val="0"/>
                <w:sz w:val="20"/>
              </w:rPr>
              <w:t>ORCID</w:t>
            </w:r>
          </w:p>
        </w:tc>
        <w:tc>
          <w:tcPr>
            <w:tcW w:type="dxa" w:w="5669"/>
          </w:tcPr>
          <w:p>
            <w:r>
              <w:rPr>
                <w:rFonts w:ascii="Times New Roman" w:hAnsi="Times New Roman"/>
                <w:b w:val="0"/>
                <w:i w:val="0"/>
                <w:sz w:val="20"/>
              </w:rPr>
              <w:t>0000-0002-5413-8449</w:t>
            </w:r>
          </w:p>
        </w:tc>
      </w:tr>
      <w:tr>
        <w:tc>
          <w:tcPr>
            <w:tcW w:type="dxa" w:w="2835"/>
          </w:tcPr>
          <w:p>
            <w:r>
              <w:rPr>
                <w:rFonts w:ascii="Times New Roman" w:hAnsi="Times New Roman"/>
                <w:b/>
                <w:i w:val="0"/>
                <w:sz w:val="20"/>
              </w:rPr>
              <w:t>Fecha emisión</w:t>
            </w:r>
          </w:p>
        </w:tc>
        <w:tc>
          <w:tcPr>
            <w:tcW w:type="dxa" w:w="5669"/>
          </w:tcPr>
          <w:p>
            <w:r>
              <w:rPr>
                <w:rFonts w:ascii="Times New Roman" w:hAnsi="Times New Roman"/>
                <w:b w:val="0"/>
                <w:i w:val="0"/>
                <w:sz w:val="20"/>
              </w:rPr>
              <w:t>Mayo 2026</w:t>
            </w:r>
          </w:p>
        </w:tc>
      </w:tr>
      <w:tr>
        <w:tc>
          <w:tcPr>
            <w:tcW w:type="dxa" w:w="2835"/>
          </w:tcPr>
          <w:p>
            <w:r>
              <w:rPr>
                <w:rFonts w:ascii="Times New Roman" w:hAnsi="Times New Roman"/>
                <w:b/>
                <w:i w:val="0"/>
                <w:sz w:val="20"/>
              </w:rPr>
              <w:t>Versión doc</w:t>
            </w:r>
          </w:p>
        </w:tc>
        <w:tc>
          <w:tcPr>
            <w:tcW w:type="dxa" w:w="5669"/>
          </w:tcPr>
          <w:p>
            <w:r>
              <w:rPr>
                <w:rFonts w:ascii="Times New Roman" w:hAnsi="Times New Roman"/>
                <w:b w:val="0"/>
                <w:i w:val="0"/>
                <w:sz w:val="20"/>
              </w:rPr>
              <w:t>1.0</w:t>
            </w:r>
          </w:p>
        </w:tc>
      </w:tr>
      <w:tr>
        <w:tc>
          <w:tcPr>
            <w:tcW w:type="dxa" w:w="2835"/>
          </w:tcPr>
          <w:p>
            <w:r>
              <w:rPr>
                <w:rFonts w:ascii="Times New Roman" w:hAnsi="Times New Roman"/>
                <w:b/>
                <w:i w:val="0"/>
                <w:sz w:val="20"/>
              </w:rPr>
              <w:t>Clasificación</w:t>
            </w:r>
          </w:p>
        </w:tc>
        <w:tc>
          <w:tcPr>
            <w:tcW w:type="dxa" w:w="5669"/>
          </w:tcPr>
          <w:p>
            <w:r>
              <w:rPr>
                <w:rFonts w:ascii="Times New Roman" w:hAnsi="Times New Roman"/>
                <w:b w:val="0"/>
                <w:i w:val="0"/>
                <w:sz w:val="20"/>
              </w:rPr>
              <w:t>USO EXCLUSIVO CSUR — Herramienta educativa interna</w:t>
            </w:r>
          </w:p>
        </w:tc>
      </w:tr>
    </w:tbl>
    <w:p>
      <w:r>
        <w:br w:type="page"/>
      </w:r>
    </w:p>
    <w:p>
      <w:pPr>
        <w:spacing w:before="280" w:after="80"/>
      </w:pPr>
      <w:r>
        <w:rPr>
          <w:rFonts w:ascii="Times New Roman" w:hAnsi="Times New Roman"/>
          <w:b/>
          <w:i w:val="0"/>
          <w:color w:val="1B4280"/>
          <w:sz w:val="32"/>
        </w:rPr>
        <w:t>1. Objeto y Alcance</w:t>
      </w:r>
    </w:p>
    <w:p>
      <w:pPr>
        <w:spacing w:line="400" w:lineRule="exact" w:after="80"/>
      </w:pPr>
      <w:r>
        <w:rPr>
          <w:rFonts w:ascii="Times New Roman" w:hAnsi="Times New Roman"/>
          <w:b w:val="0"/>
          <w:i w:val="0"/>
          <w:sz w:val="24"/>
        </w:rPr>
        <w:t>El presente documento describe la política de contenidos, las fuentes primarias utilizadas, el proceso de curación y revisión clínica, y las limitaciones de la aplicación CSUR Sarcomas App (en adelante, 'la aplicación'), desarrollada para uso exclusivo de los miembros del Comité Multidisciplinar CSUR de Sarcomas y Tumores Musculoesqueléticos del Hospital General Universitario Gregorio Marañón.</w:t>
      </w:r>
    </w:p>
    <w:p>
      <w:pPr>
        <w:spacing w:line="400" w:lineRule="exact" w:after="80"/>
      </w:pPr>
      <w:r>
        <w:rPr>
          <w:rFonts w:ascii="Times New Roman" w:hAnsi="Times New Roman"/>
          <w:b w:val="0"/>
          <w:i w:val="0"/>
          <w:sz w:val="24"/>
        </w:rPr>
        <w:t>La aplicación es una herramienta de apoyo educativo y de consulta clínica rápida. No genera diagnósticos ni recomendaciones terapéuticas de forma autónoma. Todas las decisiones clínicas sobre pacientes individuales deben adoptarse en el seno del comité multidisciplinar y de acuerdo con los protocolos institucionales vigentes.</w:t>
      </w:r>
    </w:p>
    <w:p>
      <w:pPr>
        <w:spacing w:before="40" w:after="40"/>
        <w:pBdr>
          <w:bottom w:val="single" w:sz="4" w:space="1" w:color="AAAAAA"/>
        </w:pBdr>
      </w:pPr>
    </w:p>
    <w:p>
      <w:pPr>
        <w:spacing w:before="280" w:after="80"/>
      </w:pPr>
      <w:r>
        <w:rPr>
          <w:rFonts w:ascii="Times New Roman" w:hAnsi="Times New Roman"/>
          <w:b/>
          <w:i w:val="0"/>
          <w:color w:val="1B4280"/>
          <w:sz w:val="32"/>
        </w:rPr>
        <w:t>2. Responsable de Contenidos y Validador Clínico</w:t>
      </w:r>
    </w:p>
    <w:p>
      <w:pPr>
        <w:spacing w:line="400" w:lineRule="exact" w:after="80"/>
      </w:pPr>
      <w:r>
        <w:rPr>
          <w:rFonts w:ascii="Times New Roman" w:hAnsi="Times New Roman"/>
          <w:b w:val="0"/>
          <w:i w:val="0"/>
          <w:sz w:val="24"/>
        </w:rPr>
        <w:t>El responsable de la elaboración, curación y validación de todos los contenidos clínicos es:</w:t>
      </w:r>
    </w:p>
    <w:p/>
    <w:tbl>
      <w:tblPr>
        <w:tblStyle w:val="TableGrid"/>
        <w:tblW w:type="auto" w:w="0"/>
        <w:tblLook w:firstColumn="1" w:firstRow="1" w:lastColumn="0" w:lastRow="0" w:noHBand="0" w:noVBand="1" w:val="04A0"/>
      </w:tblPr>
      <w:tblGrid>
        <w:gridCol w:w="2835"/>
        <w:gridCol w:w="5669"/>
      </w:tblGrid>
      <w:tr>
        <w:tc>
          <w:tcPr>
            <w:tcW w:type="dxa" w:w="2835"/>
          </w:tcPr>
          <w:p>
            <w:r>
              <w:rPr>
                <w:rFonts w:ascii="Times New Roman" w:hAnsi="Times New Roman"/>
                <w:b/>
                <w:i w:val="0"/>
                <w:sz w:val="20"/>
              </w:rPr>
              <w:t>Nombre</w:t>
            </w:r>
          </w:p>
        </w:tc>
        <w:tc>
          <w:tcPr>
            <w:tcW w:type="dxa" w:w="5669"/>
          </w:tcPr>
          <w:p>
            <w:r>
              <w:rPr>
                <w:rFonts w:ascii="Times New Roman" w:hAnsi="Times New Roman"/>
                <w:b w:val="0"/>
                <w:i w:val="0"/>
                <w:sz w:val="20"/>
              </w:rPr>
              <w:t>Dr. Pablo Lozano Lominchar</w:t>
            </w:r>
          </w:p>
        </w:tc>
      </w:tr>
      <w:tr>
        <w:tc>
          <w:tcPr>
            <w:tcW w:type="dxa" w:w="2835"/>
          </w:tcPr>
          <w:p>
            <w:r>
              <w:rPr>
                <w:rFonts w:ascii="Times New Roman" w:hAnsi="Times New Roman"/>
                <w:b/>
                <w:i w:val="0"/>
                <w:sz w:val="20"/>
              </w:rPr>
              <w:t>Especialidad</w:t>
            </w:r>
          </w:p>
        </w:tc>
        <w:tc>
          <w:tcPr>
            <w:tcW w:type="dxa" w:w="5669"/>
          </w:tcPr>
          <w:p>
            <w:r>
              <w:rPr>
                <w:rFonts w:ascii="Times New Roman" w:hAnsi="Times New Roman"/>
                <w:b w:val="0"/>
                <w:i w:val="0"/>
                <w:sz w:val="20"/>
              </w:rPr>
              <w:t>Cirugía General y del Aparato Digestivo</w:t>
            </w:r>
          </w:p>
        </w:tc>
      </w:tr>
      <w:tr>
        <w:tc>
          <w:tcPr>
            <w:tcW w:type="dxa" w:w="2835"/>
          </w:tcPr>
          <w:p>
            <w:r>
              <w:rPr>
                <w:rFonts w:ascii="Times New Roman" w:hAnsi="Times New Roman"/>
                <w:b/>
                <w:i w:val="0"/>
                <w:sz w:val="20"/>
              </w:rPr>
              <w:t>Titulación</w:t>
            </w:r>
          </w:p>
        </w:tc>
        <w:tc>
          <w:tcPr>
            <w:tcW w:type="dxa" w:w="5669"/>
          </w:tcPr>
          <w:p>
            <w:r>
              <w:rPr>
                <w:rFonts w:ascii="Times New Roman" w:hAnsi="Times New Roman"/>
                <w:b w:val="0"/>
                <w:i w:val="0"/>
                <w:sz w:val="20"/>
              </w:rPr>
              <w:t>MD, PhD (UCM) — Sobresaliente Cum Laude</w:t>
            </w:r>
          </w:p>
        </w:tc>
      </w:tr>
      <w:tr>
        <w:tc>
          <w:tcPr>
            <w:tcW w:type="dxa" w:w="2835"/>
          </w:tcPr>
          <w:p>
            <w:r>
              <w:rPr>
                <w:rFonts w:ascii="Times New Roman" w:hAnsi="Times New Roman"/>
                <w:b/>
                <w:i w:val="0"/>
                <w:sz w:val="20"/>
              </w:rPr>
              <w:t>Certificación</w:t>
            </w:r>
          </w:p>
        </w:tc>
        <w:tc>
          <w:tcPr>
            <w:tcW w:type="dxa" w:w="5669"/>
          </w:tcPr>
          <w:p>
            <w:r>
              <w:rPr>
                <w:rFonts w:ascii="Times New Roman" w:hAnsi="Times New Roman"/>
                <w:b w:val="0"/>
                <w:i w:val="0"/>
                <w:sz w:val="20"/>
              </w:rPr>
              <w:t>European Board of Peritoneal Surface Malignancy (EBPSM)</w:t>
            </w:r>
          </w:p>
        </w:tc>
      </w:tr>
      <w:tr>
        <w:tc>
          <w:tcPr>
            <w:tcW w:type="dxa" w:w="2835"/>
          </w:tcPr>
          <w:p>
            <w:r>
              <w:rPr>
                <w:rFonts w:ascii="Times New Roman" w:hAnsi="Times New Roman"/>
                <w:b/>
                <w:i w:val="0"/>
                <w:sz w:val="20"/>
              </w:rPr>
              <w:t>Fellowship</w:t>
            </w:r>
          </w:p>
        </w:tc>
        <w:tc>
          <w:tcPr>
            <w:tcW w:type="dxa" w:w="5669"/>
          </w:tcPr>
          <w:p>
            <w:r>
              <w:rPr>
                <w:rFonts w:ascii="Times New Roman" w:hAnsi="Times New Roman"/>
                <w:b w:val="0"/>
                <w:i w:val="0"/>
                <w:sz w:val="20"/>
              </w:rPr>
              <w:t>International Surgical Oncologist — Memorial Sloan Kettering Cancer Center (MSKCC), Nueva York 2024–2025 (Peritoneal Service / Sarcoma Service)</w:t>
            </w:r>
          </w:p>
        </w:tc>
      </w:tr>
      <w:tr>
        <w:tc>
          <w:tcPr>
            <w:tcW w:type="dxa" w:w="2835"/>
          </w:tcPr>
          <w:p>
            <w:r>
              <w:rPr>
                <w:rFonts w:ascii="Times New Roman" w:hAnsi="Times New Roman"/>
                <w:b/>
                <w:i w:val="0"/>
                <w:sz w:val="20"/>
              </w:rPr>
              <w:t>Cargo</w:t>
            </w:r>
          </w:p>
        </w:tc>
        <w:tc>
          <w:tcPr>
            <w:tcW w:type="dxa" w:w="5669"/>
          </w:tcPr>
          <w:p>
            <w:r>
              <w:rPr>
                <w:rFonts w:ascii="Times New Roman" w:hAnsi="Times New Roman"/>
                <w:b w:val="0"/>
                <w:i w:val="0"/>
                <w:sz w:val="20"/>
              </w:rPr>
              <w:t>Cirujano Oncológico, Unidad de Cirugía de EMP, Sarcomas y Tumores Pélvicos Avanzados — HGUGM</w:t>
            </w:r>
          </w:p>
        </w:tc>
      </w:tr>
      <w:tr>
        <w:tc>
          <w:tcPr>
            <w:tcW w:type="dxa" w:w="2835"/>
          </w:tcPr>
          <w:p>
            <w:r>
              <w:rPr>
                <w:rFonts w:ascii="Times New Roman" w:hAnsi="Times New Roman"/>
                <w:b/>
                <w:i w:val="0"/>
                <w:sz w:val="20"/>
              </w:rPr>
              <w:t>Docencia</w:t>
            </w:r>
          </w:p>
        </w:tc>
        <w:tc>
          <w:tcPr>
            <w:tcW w:type="dxa" w:w="5669"/>
          </w:tcPr>
          <w:p>
            <w:r>
              <w:rPr>
                <w:rFonts w:ascii="Times New Roman" w:hAnsi="Times New Roman"/>
                <w:b w:val="0"/>
                <w:i w:val="0"/>
                <w:sz w:val="20"/>
              </w:rPr>
              <w:t>Profesor Asociado en Patología Quirúrgica, UCM</w:t>
            </w:r>
          </w:p>
        </w:tc>
      </w:tr>
      <w:tr>
        <w:tc>
          <w:tcPr>
            <w:tcW w:type="dxa" w:w="2835"/>
          </w:tcPr>
          <w:p>
            <w:r>
              <w:rPr>
                <w:rFonts w:ascii="Times New Roman" w:hAnsi="Times New Roman"/>
                <w:b/>
                <w:i w:val="0"/>
                <w:sz w:val="20"/>
              </w:rPr>
              <w:t>Sociedad</w:t>
            </w:r>
          </w:p>
        </w:tc>
        <w:tc>
          <w:tcPr>
            <w:tcW w:type="dxa" w:w="5669"/>
          </w:tcPr>
          <w:p>
            <w:r>
              <w:rPr>
                <w:rFonts w:ascii="Times New Roman" w:hAnsi="Times New Roman"/>
                <w:b w:val="0"/>
                <w:i w:val="0"/>
                <w:sz w:val="20"/>
              </w:rPr>
              <w:t>Vocal Sección Sarcomas, Asociación Española de Cirujanos (AEC)</w:t>
            </w:r>
          </w:p>
        </w:tc>
      </w:tr>
      <w:tr>
        <w:tc>
          <w:tcPr>
            <w:tcW w:type="dxa" w:w="2835"/>
          </w:tcPr>
          <w:p>
            <w:r>
              <w:rPr>
                <w:rFonts w:ascii="Times New Roman" w:hAnsi="Times New Roman"/>
                <w:b/>
                <w:i w:val="0"/>
                <w:sz w:val="20"/>
              </w:rPr>
              <w:t>ORCID</w:t>
            </w:r>
          </w:p>
        </w:tc>
        <w:tc>
          <w:tcPr>
            <w:tcW w:type="dxa" w:w="5669"/>
          </w:tcPr>
          <w:p>
            <w:r>
              <w:rPr>
                <w:rFonts w:ascii="Times New Roman" w:hAnsi="Times New Roman"/>
                <w:b w:val="0"/>
                <w:i w:val="0"/>
                <w:sz w:val="20"/>
              </w:rPr>
              <w:t>https://orcid.org/0000-0002-5413-8449</w:t>
            </w:r>
          </w:p>
        </w:tc>
      </w:tr>
    </w:tbl>
    <w:p/>
    <w:p>
      <w:pPr>
        <w:spacing w:line="400" w:lineRule="exact" w:after="80"/>
      </w:pPr>
      <w:r>
        <w:rPr>
          <w:rFonts w:ascii="Times New Roman" w:hAnsi="Times New Roman"/>
          <w:b w:val="0"/>
          <w:i/>
          <w:sz w:val="24"/>
        </w:rPr>
        <w:t>La idoneidad del responsable como validador clínico queda acreditada por su formación específica en sarcomas de partes blandas, óseos y abdominales en uno de los centros de referencia mundial (MSKCC), así como por su actividad asistencial e investigadora en el CSUR acreditado del HGUGM.</w:t>
      </w:r>
    </w:p>
    <w:p>
      <w:pPr>
        <w:spacing w:before="40" w:after="40"/>
        <w:pBdr>
          <w:bottom w:val="single" w:sz="4" w:space="1" w:color="AAAAAA"/>
        </w:pBdr>
      </w:pPr>
    </w:p>
    <w:p>
      <w:pPr>
        <w:spacing w:before="280" w:after="80"/>
      </w:pPr>
      <w:r>
        <w:rPr>
          <w:rFonts w:ascii="Times New Roman" w:hAnsi="Times New Roman"/>
          <w:b/>
          <w:i w:val="0"/>
          <w:color w:val="1B4280"/>
          <w:sz w:val="32"/>
        </w:rPr>
        <w:t>3. Fuentes Primarias de Contenido</w:t>
      </w:r>
    </w:p>
    <w:p>
      <w:pPr>
        <w:spacing w:line="400" w:lineRule="exact" w:after="80"/>
      </w:pPr>
      <w:r>
        <w:rPr>
          <w:rFonts w:ascii="Times New Roman" w:hAnsi="Times New Roman"/>
          <w:b w:val="0"/>
          <w:i w:val="0"/>
          <w:sz w:val="24"/>
        </w:rPr>
        <w:t>Todo el contenido clínico (descripciones histológicas, criterios diagnósticos, estadificación, algoritmos de tratamiento y seguimiento) ha sido extraído directamente de las siguientes guías clínicas y fuentes de evidencia:</w:t>
      </w:r>
    </w:p>
    <w:p>
      <w:pPr>
        <w:spacing w:after="100"/>
        <w:ind w:left="283"/>
      </w:pPr>
      <w:r>
        <w:rPr>
          <w:rFonts w:ascii="Times New Roman" w:hAnsi="Times New Roman"/>
          <w:b/>
          <w:i w:val="0"/>
          <w:sz w:val="22"/>
        </w:rPr>
        <w:t xml:space="preserve">[1] NCCN Clinical Practice Guidelines in Oncology. </w:t>
      </w:r>
      <w:r>
        <w:rPr>
          <w:rFonts w:ascii="Times New Roman" w:hAnsi="Times New Roman"/>
          <w:b w:val="0"/>
          <w:i w:val="0"/>
          <w:sz w:val="22"/>
        </w:rPr>
        <w:t>v1.2025 — Soft Tissue Sarcoma; Bone Cancer; Gastrointestinal Stromal Tumors (GIST). National Comprehensive Cancer Network. https://www.nccn.org</w:t>
      </w:r>
    </w:p>
    <w:p>
      <w:pPr>
        <w:spacing w:after="100"/>
        <w:ind w:left="283"/>
      </w:pPr>
      <w:r>
        <w:rPr>
          <w:rFonts w:ascii="Times New Roman" w:hAnsi="Times New Roman"/>
          <w:b/>
          <w:i w:val="0"/>
          <w:sz w:val="22"/>
        </w:rPr>
        <w:t xml:space="preserve">[2] ESMO Clinical Practice Guidelines. </w:t>
      </w:r>
      <w:r>
        <w:rPr>
          <w:rFonts w:ascii="Times New Roman" w:hAnsi="Times New Roman"/>
          <w:b w:val="0"/>
          <w:i w:val="0"/>
          <w:sz w:val="22"/>
        </w:rPr>
        <w:t>Soft Tissue and Visceral Sarcomas: ESMO–EURACAN–GENTURIS Clinical Practice Guidelines for diagnosis, treatment and follow-up. Annals of Oncology, 2025.</w:t>
      </w:r>
    </w:p>
    <w:p>
      <w:pPr>
        <w:spacing w:after="100"/>
        <w:ind w:left="283"/>
      </w:pPr>
      <w:r>
        <w:rPr>
          <w:rFonts w:ascii="Times New Roman" w:hAnsi="Times New Roman"/>
          <w:b/>
          <w:i w:val="0"/>
          <w:sz w:val="22"/>
        </w:rPr>
        <w:t xml:space="preserve">[3] WHO Classification of Tumours — 5ª edición. </w:t>
      </w:r>
      <w:r>
        <w:rPr>
          <w:rFonts w:ascii="Times New Roman" w:hAnsi="Times New Roman"/>
          <w:b w:val="0"/>
          <w:i w:val="0"/>
          <w:sz w:val="22"/>
        </w:rPr>
        <w:t>Soft Tissue and Bone Tumours. IARC Press, Lyon, 2020. ISBN 978-92-832-4502-5.</w:t>
      </w:r>
    </w:p>
    <w:p>
      <w:pPr>
        <w:spacing w:after="100"/>
        <w:ind w:left="283"/>
      </w:pPr>
      <w:r>
        <w:rPr>
          <w:rFonts w:ascii="Times New Roman" w:hAnsi="Times New Roman"/>
          <w:b/>
          <w:i w:val="0"/>
          <w:sz w:val="22"/>
        </w:rPr>
        <w:t xml:space="preserve">[4] AJCC Cancer Staging Manual — 8ª edición. </w:t>
      </w:r>
      <w:r>
        <w:rPr>
          <w:rFonts w:ascii="Times New Roman" w:hAnsi="Times New Roman"/>
          <w:b w:val="0"/>
          <w:i w:val="0"/>
          <w:sz w:val="22"/>
        </w:rPr>
        <w:t>American Joint Committee on Cancer. Amin MB et al. (eds.). Springer, 2017. Capítulos: Soft Tissue Sarcoma of the Trunk and Extremities; Retroperitoneal Sarcoma; Bone.</w:t>
      </w:r>
    </w:p>
    <w:p>
      <w:pPr>
        <w:spacing w:after="100"/>
        <w:ind w:left="283"/>
      </w:pPr>
      <w:r>
        <w:rPr>
          <w:rFonts w:ascii="Times New Roman" w:hAnsi="Times New Roman"/>
          <w:b/>
          <w:i w:val="0"/>
          <w:sz w:val="22"/>
        </w:rPr>
        <w:t xml:space="preserve">[5] GEIS — Grupo Español de Investigación en Sarcomas. </w:t>
      </w:r>
      <w:r>
        <w:rPr>
          <w:rFonts w:ascii="Times New Roman" w:hAnsi="Times New Roman"/>
          <w:b w:val="0"/>
          <w:i w:val="0"/>
          <w:sz w:val="22"/>
        </w:rPr>
        <w:t>Guías clínicas y documentos de consenso 2023–2025. www.geis.es</w:t>
      </w:r>
    </w:p>
    <w:p>
      <w:pPr>
        <w:spacing w:after="100"/>
        <w:ind w:left="283"/>
      </w:pPr>
      <w:r>
        <w:rPr>
          <w:rFonts w:ascii="Times New Roman" w:hAnsi="Times New Roman"/>
          <w:b/>
          <w:i w:val="0"/>
          <w:sz w:val="22"/>
        </w:rPr>
        <w:t xml:space="preserve">[6] Literatura científica indexada. </w:t>
      </w:r>
      <w:r>
        <w:rPr>
          <w:rFonts w:ascii="Times New Roman" w:hAnsi="Times New Roman"/>
          <w:b w:val="0"/>
          <w:i w:val="0"/>
          <w:sz w:val="22"/>
        </w:rPr>
        <w:t>PubMed/MEDLINE. Revistas de referencia: Annals of Surgical Oncology, Lancet Oncology, Journal of Clinical Oncology, Annals of Oncology, Cancers (MDPI), British Journal of Surgery, European Journal of Cancer.</w:t>
      </w:r>
    </w:p>
    <w:p>
      <w:pPr>
        <w:spacing w:after="100"/>
        <w:ind w:left="283"/>
      </w:pPr>
      <w:r>
        <w:rPr>
          <w:rFonts w:ascii="Times New Roman" w:hAnsi="Times New Roman"/>
          <w:b/>
          <w:i w:val="0"/>
          <w:sz w:val="22"/>
        </w:rPr>
        <w:t xml:space="preserve">[7] Ensayos clínicos históricos (Landmark Trials). </w:t>
      </w:r>
      <w:r>
        <w:rPr>
          <w:rFonts w:ascii="Times New Roman" w:hAnsi="Times New Roman"/>
          <w:b w:val="0"/>
          <w:i w:val="0"/>
          <w:sz w:val="22"/>
        </w:rPr>
        <w:t>24 ensayos seleccionados por su impacto demostrado en la práctica clínica estándar. Fuentes: PubMed, ClinicalTrials.gov. Nivel de evidencia asignado según escala Oxford CEBM (Ia–IV).</w:t>
      </w:r>
    </w:p>
    <w:p>
      <w:pPr>
        <w:spacing w:before="40" w:after="40"/>
        <w:pBdr>
          <w:bottom w:val="single" w:sz="4" w:space="1" w:color="AAAAAA"/>
        </w:pBdr>
      </w:pPr>
    </w:p>
    <w:p>
      <w:pPr>
        <w:spacing w:before="280" w:after="80"/>
      </w:pPr>
      <w:r>
        <w:rPr>
          <w:rFonts w:ascii="Times New Roman" w:hAnsi="Times New Roman"/>
          <w:b/>
          <w:i w:val="0"/>
          <w:color w:val="1B4280"/>
          <w:sz w:val="32"/>
        </w:rPr>
        <w:t>4. Proceso de Curación y Revisión Clínica</w:t>
      </w:r>
    </w:p>
    <w:p>
      <w:pPr>
        <w:spacing w:before="200" w:after="80"/>
      </w:pPr>
      <w:r>
        <w:rPr>
          <w:rFonts w:ascii="Times New Roman" w:hAnsi="Times New Roman"/>
          <w:b/>
          <w:i w:val="0"/>
          <w:color w:val="323232"/>
          <w:sz w:val="28"/>
        </w:rPr>
        <w:t>4.1 Elaboración del contenido</w:t>
      </w:r>
    </w:p>
    <w:p>
      <w:pPr>
        <w:pStyle w:val="ListBullet"/>
        <w:spacing w:after="60"/>
        <w:ind w:left="567"/>
      </w:pPr>
      <w:r>
        <w:rPr>
          <w:rFonts w:ascii="Times New Roman" w:hAnsi="Times New Roman"/>
          <w:b w:val="0"/>
          <w:i w:val="0"/>
          <w:sz w:val="22"/>
        </w:rPr>
        <w:t>El contenido de cada entidad nosológica (&gt;30 sarcomas) fue elaborado directamente por el responsable a partir de las fuentes primarias listadas en el apartado 3, sin intermediarios ni resúmenes de terceros.</w:t>
      </w:r>
    </w:p>
    <w:p>
      <w:pPr>
        <w:pStyle w:val="ListBullet"/>
        <w:spacing w:after="60"/>
        <w:ind w:left="567"/>
      </w:pPr>
      <w:r>
        <w:rPr>
          <w:rFonts w:ascii="Times New Roman" w:hAnsi="Times New Roman"/>
          <w:b w:val="0"/>
          <w:i w:val="0"/>
          <w:sz w:val="22"/>
        </w:rPr>
        <w:t>Los datos de epidemiología, histología, inmunohistoquímica, marcadores moleculares, estadificación, tratamiento y seguimiento se contrastaron simultáneamente en NCCN 2025 y ESMO 2025.</w:t>
      </w:r>
    </w:p>
    <w:p>
      <w:pPr>
        <w:pStyle w:val="ListBullet"/>
        <w:spacing w:after="60"/>
        <w:ind w:left="567"/>
      </w:pPr>
      <w:r>
        <w:rPr>
          <w:rFonts w:ascii="Times New Roman" w:hAnsi="Times New Roman"/>
          <w:b w:val="0"/>
          <w:i w:val="0"/>
          <w:sz w:val="22"/>
        </w:rPr>
        <w:t>Las recomendaciones de tratamiento de primera línea reflejan el estándar de cuidado (Standard of Care) establecido en las guías más recientes en el momento de la elaboración (Mayo 2026).</w:t>
      </w:r>
    </w:p>
    <w:p>
      <w:pPr>
        <w:spacing w:before="200" w:after="80"/>
      </w:pPr>
      <w:r>
        <w:rPr>
          <w:rFonts w:ascii="Times New Roman" w:hAnsi="Times New Roman"/>
          <w:b/>
          <w:i w:val="0"/>
          <w:color w:val="323232"/>
          <w:sz w:val="28"/>
        </w:rPr>
        <w:t>4.2 Algoritmos de decisión clínica</w:t>
      </w:r>
    </w:p>
    <w:p>
      <w:pPr>
        <w:pStyle w:val="ListBullet"/>
        <w:spacing w:after="60"/>
        <w:ind w:left="567"/>
      </w:pPr>
      <w:r>
        <w:rPr>
          <w:rFonts w:ascii="Times New Roman" w:hAnsi="Times New Roman"/>
          <w:b w:val="0"/>
          <w:i w:val="0"/>
          <w:sz w:val="22"/>
        </w:rPr>
        <w:t>Los 6 algoritmos clínicos (diagnóstico, tratamiento y seguimiento) son árboles de decisión deterministas diseñados manualmente por el responsable basándose en los flujogramas de NCCN v1.2025 y ESMO 2025.</w:t>
      </w:r>
    </w:p>
    <w:p>
      <w:pPr>
        <w:pStyle w:val="ListBullet"/>
        <w:spacing w:after="60"/>
        <w:ind w:left="567"/>
      </w:pPr>
      <w:r>
        <w:rPr>
          <w:rFonts w:ascii="Times New Roman" w:hAnsi="Times New Roman"/>
          <w:b w:val="0"/>
          <w:i w:val="0"/>
          <w:sz w:val="22"/>
        </w:rPr>
        <w:t>Cada nodo del algoritmo cita explícitamente la fuente y versión de la guía en la que se basa.</w:t>
      </w:r>
    </w:p>
    <w:p>
      <w:pPr>
        <w:pStyle w:val="ListBullet"/>
        <w:spacing w:after="60"/>
        <w:ind w:left="567"/>
      </w:pPr>
      <w:r>
        <w:rPr>
          <w:rFonts w:ascii="Times New Roman" w:hAnsi="Times New Roman"/>
          <w:b w:val="0"/>
          <w:i w:val="0"/>
          <w:sz w:val="22"/>
        </w:rPr>
        <w:t>La aplicación NO utiliza inteligencia artificial generativa para producir ni modificar recomendaciones clínicas.</w:t>
      </w:r>
    </w:p>
    <w:p>
      <w:pPr>
        <w:spacing w:before="200" w:after="80"/>
      </w:pPr>
      <w:r>
        <w:rPr>
          <w:rFonts w:ascii="Times New Roman" w:hAnsi="Times New Roman"/>
          <w:b/>
          <w:i w:val="0"/>
          <w:color w:val="323232"/>
          <w:sz w:val="28"/>
        </w:rPr>
        <w:t>4.3 Ensayos históricos (Landmark Trials)</w:t>
      </w:r>
    </w:p>
    <w:p>
      <w:pPr>
        <w:pStyle w:val="ListBullet"/>
        <w:spacing w:after="60"/>
        <w:ind w:left="567"/>
      </w:pPr>
      <w:r>
        <w:rPr>
          <w:rFonts w:ascii="Times New Roman" w:hAnsi="Times New Roman"/>
          <w:b w:val="0"/>
          <w:i w:val="0"/>
          <w:sz w:val="22"/>
        </w:rPr>
        <w:t>La selección de 24 ensayos históricos se realizó conforme a criterios de impacto documentado en la práctica clínica estándar (cambio en guías, aprobaciones regulatorias, cambio en primera línea de tratamiento).</w:t>
      </w:r>
    </w:p>
    <w:p>
      <w:pPr>
        <w:pStyle w:val="ListBullet"/>
        <w:spacing w:after="60"/>
        <w:ind w:left="567"/>
      </w:pPr>
      <w:r>
        <w:rPr>
          <w:rFonts w:ascii="Times New Roman" w:hAnsi="Times New Roman"/>
          <w:b w:val="0"/>
          <w:i w:val="0"/>
          <w:sz w:val="22"/>
        </w:rPr>
        <w:t>A cada ensayo se asigna explícitamente un nivel de evidencia según la Oxford Centre for Evidence-Based Medicine (CEBM) 2011.</w:t>
      </w:r>
    </w:p>
    <w:p>
      <w:pPr>
        <w:spacing w:before="200" w:after="80"/>
      </w:pPr>
      <w:r>
        <w:rPr>
          <w:rFonts w:ascii="Times New Roman" w:hAnsi="Times New Roman"/>
          <w:b/>
          <w:i w:val="0"/>
          <w:color w:val="323232"/>
          <w:sz w:val="28"/>
        </w:rPr>
        <w:t>4.4 Revisión y actualización</w:t>
      </w:r>
    </w:p>
    <w:p>
      <w:pPr>
        <w:pStyle w:val="ListBullet"/>
        <w:spacing w:after="60"/>
        <w:ind w:left="567"/>
      </w:pPr>
      <w:r>
        <w:rPr>
          <w:rFonts w:ascii="Times New Roman" w:hAnsi="Times New Roman"/>
          <w:b w:val="0"/>
          <w:i w:val="0"/>
          <w:sz w:val="22"/>
        </w:rPr>
        <w:t>El contenido fue revisado íntegramente por el responsable en Mayo 2026 antes del lanzamiento de la versión v1.1.0.</w:t>
      </w:r>
    </w:p>
    <w:p>
      <w:pPr>
        <w:pStyle w:val="ListBullet"/>
        <w:spacing w:after="60"/>
        <w:ind w:left="567"/>
      </w:pPr>
      <w:r>
        <w:rPr>
          <w:rFonts w:ascii="Times New Roman" w:hAnsi="Times New Roman"/>
          <w:b w:val="0"/>
          <w:i w:val="0"/>
          <w:sz w:val="22"/>
        </w:rPr>
        <w:t>Se prevé revisión periódica coincidiendo con la publicación de nuevas versiones de las guías NCCN y ESMO (generalmente anual).</w:t>
      </w:r>
    </w:p>
    <w:p>
      <w:pPr>
        <w:pStyle w:val="ListBullet"/>
        <w:spacing w:after="60"/>
        <w:ind w:left="567"/>
      </w:pPr>
      <w:r>
        <w:rPr>
          <w:rFonts w:ascii="Times New Roman" w:hAnsi="Times New Roman"/>
          <w:b w:val="0"/>
          <w:i w:val="0"/>
          <w:sz w:val="22"/>
        </w:rPr>
        <w:t>Los cambios mayores se documentarán en el registro de versiones accesible desde la sección 'Acerca de' de la propia aplicación.</w:t>
      </w:r>
    </w:p>
    <w:p>
      <w:pPr>
        <w:spacing w:before="40" w:after="40"/>
        <w:pBdr>
          <w:bottom w:val="single" w:sz="4" w:space="1" w:color="AAAAAA"/>
        </w:pBdr>
      </w:pPr>
    </w:p>
    <w:p>
      <w:pPr>
        <w:spacing w:before="280" w:after="80"/>
      </w:pPr>
      <w:r>
        <w:rPr>
          <w:rFonts w:ascii="Times New Roman" w:hAnsi="Times New Roman"/>
          <w:b/>
          <w:i w:val="0"/>
          <w:color w:val="1B4280"/>
          <w:sz w:val="32"/>
        </w:rPr>
        <w:t>5. Limitaciones y Declaración de Responsabilidad</w:t>
      </w:r>
    </w:p>
    <w:p>
      <w:pPr>
        <w:spacing w:line="400" w:lineRule="exact" w:after="80"/>
      </w:pPr>
      <w:r>
        <w:rPr>
          <w:rFonts w:ascii="Times New Roman" w:hAnsi="Times New Roman"/>
          <w:b w:val="0"/>
          <w:i w:val="0"/>
          <w:sz w:val="24"/>
        </w:rPr>
        <w:t>La aplicación CSUR Sarcomas App es una herramienta de apoyo educativo. Las siguientes limitaciones deben tenerse en cuenta en su uso:</w:t>
      </w:r>
    </w:p>
    <w:p>
      <w:pPr>
        <w:pStyle w:val="ListBullet"/>
        <w:spacing w:after="60"/>
        <w:ind w:left="567"/>
      </w:pPr>
      <w:r>
        <w:rPr>
          <w:rFonts w:ascii="Times New Roman" w:hAnsi="Times New Roman"/>
          <w:b w:val="0"/>
          <w:i w:val="0"/>
          <w:sz w:val="22"/>
        </w:rPr>
        <w:t>El contenido tiene carácter exclusivamente educativo para los profesionales sanitarios miembros del CSUR. No constituye consejo médico individualizado.</w:t>
      </w:r>
    </w:p>
    <w:p>
      <w:pPr>
        <w:pStyle w:val="ListBullet"/>
        <w:spacing w:after="60"/>
        <w:ind w:left="567"/>
      </w:pPr>
      <w:r>
        <w:rPr>
          <w:rFonts w:ascii="Times New Roman" w:hAnsi="Times New Roman"/>
          <w:b w:val="0"/>
          <w:i w:val="0"/>
          <w:sz w:val="22"/>
        </w:rPr>
        <w:t>Las recomendaciones clínicas contenidas en la aplicación reflejan el estándar de cuidado general definido en las guías. La decisión final sobre cada paciente debe adoptarse siempre en el contexto del equipo multidisciplinar y de acuerdo con los protocolos institucionales del HGUGM.</w:t>
      </w:r>
    </w:p>
    <w:p>
      <w:pPr>
        <w:pStyle w:val="ListBullet"/>
        <w:spacing w:after="60"/>
        <w:ind w:left="567"/>
      </w:pPr>
      <w:r>
        <w:rPr>
          <w:rFonts w:ascii="Times New Roman" w:hAnsi="Times New Roman"/>
          <w:b w:val="0"/>
          <w:i w:val="0"/>
          <w:sz w:val="22"/>
        </w:rPr>
        <w:t>Las guías clínicas se actualizan con periodicidad variable. Puede existir un desfase entre la publicación de nuevas recomendaciones y su incorporación a la aplicación.</w:t>
      </w:r>
    </w:p>
    <w:p>
      <w:pPr>
        <w:pStyle w:val="ListBullet"/>
        <w:spacing w:after="60"/>
        <w:ind w:left="567"/>
      </w:pPr>
      <w:r>
        <w:rPr>
          <w:rFonts w:ascii="Times New Roman" w:hAnsi="Times New Roman"/>
          <w:b w:val="0"/>
          <w:i w:val="0"/>
          <w:sz w:val="22"/>
        </w:rPr>
        <w:t>Los ensayos clínicos activos se presentan con fines informativos. La elegibilidad real de cada paciente debe verificarse directamente en la ficha oficial del ensayo (ClinicalTrials.gov) y con el equipo investigador.</w:t>
      </w:r>
    </w:p>
    <w:p>
      <w:pPr>
        <w:pStyle w:val="ListBullet"/>
        <w:spacing w:after="60"/>
        <w:ind w:left="567"/>
      </w:pPr>
      <w:r>
        <w:rPr>
          <w:rFonts w:ascii="Times New Roman" w:hAnsi="Times New Roman"/>
          <w:b w:val="0"/>
          <w:i w:val="0"/>
          <w:sz w:val="22"/>
        </w:rPr>
        <w:t>La aplicación no sustituye la consulta directa a las guías originales ni al juicio clínico experto.</w:t>
      </w:r>
    </w:p>
    <w:p/>
    <w:p>
      <w:pPr>
        <w:spacing w:line="400" w:lineRule="exact" w:after="80"/>
      </w:pPr>
      <w:r>
        <w:rPr>
          <w:rFonts w:ascii="Times New Roman" w:hAnsi="Times New Roman"/>
          <w:b w:val="0"/>
          <w:i/>
          <w:sz w:val="24"/>
        </w:rPr>
        <w:t>El responsable de los contenidos no asume responsabilidad por decisiones clínicas adoptadas exclusivamente con base en la información contenida en la aplicación, sin contraste con las guías originales y sin deliberación en el comité multidisciplinar correspondiente.</w:t>
      </w:r>
    </w:p>
    <w:p>
      <w:pPr>
        <w:spacing w:before="40" w:after="40"/>
        <w:pBdr>
          <w:bottom w:val="single" w:sz="4" w:space="1" w:color="AAAAAA"/>
        </w:pBdr>
      </w:pPr>
    </w:p>
    <w:p>
      <w:pPr>
        <w:spacing w:before="280" w:after="80"/>
      </w:pPr>
      <w:r>
        <w:rPr>
          <w:rFonts w:ascii="Times New Roman" w:hAnsi="Times New Roman"/>
          <w:b/>
          <w:i w:val="0"/>
          <w:color w:val="1B4280"/>
          <w:sz w:val="32"/>
        </w:rPr>
        <w:t>6. Control de Versiones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i w:val="0"/>
                <w:sz w:val="20"/>
              </w:rPr>
              <w:t>Versión</w:t>
            </w:r>
          </w:p>
        </w:tc>
        <w:tc>
          <w:tcPr>
            <w:tcW w:type="dxa" w:w="2280"/>
          </w:tcPr>
          <w:p>
            <w:r>
              <w:rPr>
                <w:rFonts w:ascii="Times New Roman" w:hAnsi="Times New Roman"/>
                <w:b/>
                <w:i w:val="0"/>
                <w:sz w:val="20"/>
              </w:rPr>
              <w:t>Fecha</w:t>
            </w:r>
          </w:p>
        </w:tc>
        <w:tc>
          <w:tcPr>
            <w:tcW w:type="dxa" w:w="2280"/>
          </w:tcPr>
          <w:p>
            <w:r>
              <w:rPr>
                <w:rFonts w:ascii="Times New Roman" w:hAnsi="Times New Roman"/>
                <w:b/>
                <w:i w:val="0"/>
                <w:sz w:val="20"/>
              </w:rPr>
              <w:t>Responsable</w:t>
            </w:r>
          </w:p>
        </w:tc>
        <w:tc>
          <w:tcPr>
            <w:tcW w:type="dxa" w:w="2280"/>
          </w:tcPr>
          <w:p>
            <w:r>
              <w:rPr>
                <w:rFonts w:ascii="Times New Roman" w:hAnsi="Times New Roman"/>
                <w:b/>
                <w:i w:val="0"/>
                <w:sz w:val="20"/>
              </w:rPr>
              <w:t>Descripción del cambio</w:t>
            </w:r>
          </w:p>
        </w:tc>
      </w:tr>
      <w:tr>
        <w:tc>
          <w:tcPr>
            <w:tcW w:type="dxa" w:w="2280"/>
          </w:tcPr>
          <w:p>
            <w:r>
              <w:rPr>
                <w:rFonts w:ascii="Times New Roman" w:hAnsi="Times New Roman"/>
                <w:b w:val="0"/>
                <w:i w:val="0"/>
                <w:sz w:val="20"/>
              </w:rPr>
              <w:t>v1.0.0</w:t>
            </w:r>
          </w:p>
        </w:tc>
        <w:tc>
          <w:tcPr>
            <w:tcW w:type="dxa" w:w="2280"/>
          </w:tcPr>
          <w:p>
            <w:r>
              <w:rPr>
                <w:rFonts w:ascii="Times New Roman" w:hAnsi="Times New Roman"/>
                <w:b w:val="0"/>
                <w:i w:val="0"/>
                <w:sz w:val="20"/>
              </w:rPr>
              <w:t>Marzo 2026</w:t>
            </w:r>
          </w:p>
        </w:tc>
        <w:tc>
          <w:tcPr>
            <w:tcW w:type="dxa" w:w="2280"/>
          </w:tcPr>
          <w:p>
            <w:r>
              <w:rPr>
                <w:rFonts w:ascii="Times New Roman" w:hAnsi="Times New Roman"/>
                <w:b w:val="0"/>
                <w:i w:val="0"/>
                <w:sz w:val="20"/>
              </w:rPr>
              <w:t>Dr. P. Lozano</w:t>
            </w:r>
          </w:p>
        </w:tc>
        <w:tc>
          <w:tcPr>
            <w:tcW w:type="dxa" w:w="2280"/>
          </w:tcPr>
          <w:p>
            <w:r>
              <w:rPr>
                <w:rFonts w:ascii="Times New Roman" w:hAnsi="Times New Roman"/>
                <w:b w:val="0"/>
                <w:i w:val="0"/>
                <w:sz w:val="20"/>
              </w:rPr>
              <w:t>Versión inicial. 25 entidades, 5 algoritmos, buscador.</w:t>
            </w:r>
          </w:p>
        </w:tc>
      </w:tr>
      <w:tr>
        <w:tc>
          <w:tcPr>
            <w:tcW w:type="dxa" w:w="2280"/>
          </w:tcPr>
          <w:p>
            <w:r>
              <w:rPr>
                <w:rFonts w:ascii="Times New Roman" w:hAnsi="Times New Roman"/>
                <w:b w:val="0"/>
                <w:i w:val="0"/>
                <w:sz w:val="20"/>
              </w:rPr>
              <w:t>v1.1.0</w:t>
            </w:r>
          </w:p>
        </w:tc>
        <w:tc>
          <w:tcPr>
            <w:tcW w:type="dxa" w:w="2280"/>
          </w:tcPr>
          <w:p>
            <w:r>
              <w:rPr>
                <w:rFonts w:ascii="Times New Roman" w:hAnsi="Times New Roman"/>
                <w:b w:val="0"/>
                <w:i w:val="0"/>
                <w:sz w:val="20"/>
              </w:rPr>
              <w:t>Mayo 2026</w:t>
            </w:r>
          </w:p>
        </w:tc>
        <w:tc>
          <w:tcPr>
            <w:tcW w:type="dxa" w:w="2280"/>
          </w:tcPr>
          <w:p>
            <w:r>
              <w:rPr>
                <w:rFonts w:ascii="Times New Roman" w:hAnsi="Times New Roman"/>
                <w:b w:val="0"/>
                <w:i w:val="0"/>
                <w:sz w:val="20"/>
              </w:rPr>
              <w:t>Dr. P. Lozano</w:t>
            </w:r>
          </w:p>
        </w:tc>
        <w:tc>
          <w:tcPr>
            <w:tcW w:type="dxa" w:w="2280"/>
          </w:tcPr>
          <w:p>
            <w:r>
              <w:rPr>
                <w:rFonts w:ascii="Times New Roman" w:hAnsi="Times New Roman"/>
                <w:b w:val="0"/>
                <w:i w:val="0"/>
                <w:sz w:val="20"/>
              </w:rPr>
              <w:t>30+ entidades, 6 algoritmos, 24 ensayos históricos, perla docente diaria, sección Metodología y Validación.</w:t>
            </w:r>
          </w:p>
        </w:tc>
      </w:tr>
    </w:tbl>
    <w:p>
      <w:pPr>
        <w:spacing w:before="40" w:after="40"/>
        <w:pBdr>
          <w:bottom w:val="single" w:sz="4" w:space="1" w:color="AAAAAA"/>
        </w:pBdr>
      </w:pPr>
    </w:p>
    <w:p>
      <w:pPr>
        <w:spacing w:before="280" w:after="80"/>
      </w:pPr>
      <w:r>
        <w:rPr>
          <w:rFonts w:ascii="Times New Roman" w:hAnsi="Times New Roman"/>
          <w:b/>
          <w:i w:val="0"/>
          <w:color w:val="1B4280"/>
          <w:sz w:val="32"/>
        </w:rPr>
        <w:t>7. Firma y Fecha de Validación</w:t>
      </w:r>
    </w:p>
    <w:p>
      <w:pPr>
        <w:spacing w:line="400" w:lineRule="exact" w:after="80"/>
      </w:pPr>
      <w:r>
        <w:rPr>
          <w:rFonts w:ascii="Times New Roman" w:hAnsi="Times New Roman"/>
          <w:b w:val="0"/>
          <w:i w:val="0"/>
          <w:sz w:val="24"/>
        </w:rPr>
        <w:t>El responsable certifica que el contenido clínico de la aplicación CSUR Sarcomas App v1.1.0 ha sido elaborado conforme a las fuentes primarias descritas en este documento y revisado clínicamente en Mayo de 2026.</w:t>
      </w:r>
    </w:p>
    <w:p/>
    <w:p/>
    <w:p>
      <w:pPr>
        <w:jc w:val="left"/>
      </w:pPr>
      <w:r>
        <w:rPr>
          <w:rFonts w:ascii="Times New Roman" w:hAnsi="Times New Roman"/>
          <w:b w:val="0"/>
          <w:i w:val="0"/>
          <w:sz w:val="22"/>
        </w:rPr>
        <w:t>Dr. Pablo Lozano Lominchar</w:t>
        <w:br/>
        <w:t>MD, PhD · EBPSM · MSKCC Fellow 2024–25</w:t>
        <w:br/>
        <w:t>Cirujano Oncológico — CSUR Sarcomas</w:t>
        <w:br/>
        <w:t>Hospital General Universitario Gregorio Marañón · Madrid</w:t>
        <w:br/>
        <w:t>Fecha: Mayo 2026</w:t>
        <w:br/>
        <w:t>ORCID: 0000-0002-5413-8449</w:t>
      </w:r>
    </w:p>
    <w:p/>
    <w:p/>
    <w:p>
      <w:pPr>
        <w:spacing w:after="40"/>
      </w:pPr>
      <w:r>
        <w:t>__________________________________________________</w:t>
      </w:r>
    </w:p>
    <w:p>
      <w:pPr>
        <w:spacing w:before="0"/>
      </w:pPr>
      <w:r>
        <w:rPr>
          <w:rFonts w:ascii="Times New Roman" w:hAnsi="Times New Roman"/>
          <w:b w:val="0"/>
          <w:i/>
          <w:sz w:val="20"/>
        </w:rPr>
        <w:t>Firma del responsable de contenidos</w:t>
      </w:r>
    </w:p>
    <w:p/>
    <w:p>
      <w:pPr>
        <w:spacing w:before="400"/>
      </w:pPr>
      <w:r>
        <w:rPr>
          <w:rFonts w:ascii="Times New Roman" w:hAnsi="Times New Roman"/>
          <w:b w:val="0"/>
          <w:i/>
          <w:color w:val="787878"/>
          <w:sz w:val="18"/>
        </w:rPr>
        <w:t>© 2026 Dr. Pablo Lozano Lominchar · CSUR Sarcomas HGUGM · Todos los derechos reservados. Documento generado automáticamente — CSUR Sarcomas App v1.1.0.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