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141414"/>
        </w:rPr>
        <w:t xml:space="preserve">Ron Santa Teresa × Tesote — Definición técnica de la integración con SAP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Para preparar la propuesta de integración entre Tesote y su SAP (ECC 6.0 EHP 7 sobre HANA), necesitamos confirmar los puntos técnicos listados a continuación.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El alcance que estamos dimensionando es el estándar de Tesote: leer datos maestros desde SAP y entregar el extracto bancario en el formato que su SAP ya consume hoy. No contempla escritura directa de asientos contables vía BAPI/IDoc.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Las preguntas están agrupadas por bloque. Las marcadas con </w:t>
      </w:r>
      <w:r>
        <w:rPr>
          <w:rFonts w:ascii="Arial" w:hAnsi="Arial" w:cs="Arial"/>
          <w:sz w:val="29"/>
          <w:sz-cs w:val="29"/>
          <w:b/>
          <w:spacing w:val="0"/>
          <w:color w:val="AA0003"/>
        </w:rPr>
        <w:t xml:space="preserve">(★)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son las que necesitamos resueltas antes de cerrar la propuesta comercial; el resto pueden trabajarse durante el descubrimiento.</w:t>
      </w:r>
    </w:p>
    <w:p>
      <w:pPr>
        <w:spacing w:after="106"/>
      </w:pPr>
      <w:r>
        <w:rPr>
          <w:rFonts w:ascii="Arial" w:hAnsi="Arial" w:cs="Arial"/>
          <w:sz w:val="34"/>
          <w:sz-cs w:val="34"/>
          <w:b/>
          <w:spacing w:val="0"/>
          <w:color w:val="141414"/>
        </w:rPr>
        <w:t xml:space="preserve">A. Entorno SAP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AA0003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AA0003"/>
        </w:rPr>
        <w:t xml:space="preserve">(★)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Hospedaje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on-premise, nube privada (AWS/Azure) u hospedado por su partner SAP.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AA0003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AA0003"/>
        </w:rPr>
        <w:t xml:space="preserve">(★)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Equipo Basis / partner SAP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que acompaña el sistema y con quien coordinaríamos el trabajo técnico.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Ambiente de pruebas (Sandbox / QAS)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disponible para que construyamos y validemos la integración.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Personalizaciones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en el flujo de extractos bancarios (programas Z, ampliaciones del módulo FI) o se mantiene cercano al estándar.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Migración a S/4HANA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¿está planificada? ¿plazo previsto? Esto nos permite diseñar la integración para que sobreviva a esa transición.</w:t>
      </w:r>
    </w:p>
    <w:p>
      <w:pPr>
        <w:spacing w:after="106"/>
      </w:pPr>
      <w:r>
        <w:rPr>
          <w:rFonts w:ascii="Arial" w:hAnsi="Arial" w:cs="Arial"/>
          <w:sz w:val="34"/>
          <w:sz-cs w:val="34"/>
          <w:b/>
          <w:spacing w:val="0"/>
          <w:color w:val="141414"/>
        </w:rPr>
        <w:t xml:space="preserve">B. Lectura de datos maestros desde SAP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Mecanismo de extracción disponible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OData (servicios activados en SICF), RFC/BAPI, lectura directa sobre HANA (ODBC/JDBC), o exportación CSV programada.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Plan de cuentas (GL)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¿qué sociedades (company codes) entran en alcance y qué cuentas son relevantes (caja, compensación, efectivo en tránsito)?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Maestro de clientes y proveedores con RIF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¿accesible por el mismo mecanismo? ¿qué cadencia de actualización es aceptable (tiempo real vs. diaria)?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House Bank IDs y Account IDs en SAP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¿cómo obtenemos la correspondencia entre cada cuenta bancaria real y su identificador interno en SAP?</w:t>
      </w:r>
    </w:p>
    <w:p>
      <w:pPr>
        <w:spacing w:after="106"/>
      </w:pPr>
      <w:r>
        <w:rPr>
          <w:rFonts w:ascii="Arial" w:hAnsi="Arial" w:cs="Arial"/>
          <w:sz w:val="34"/>
          <w:sz-cs w:val="34"/>
          <w:b/>
          <w:spacing w:val="0"/>
          <w:color w:val="141414"/>
        </w:rPr>
        <w:t xml:space="preserve">C. Entrega del extracto bancario hacia SAP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AA0003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AA0003"/>
        </w:rPr>
        <w:t xml:space="preserve">(★)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Proceso actual de carga del extracto en SAP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FF.5 manual, FEBAN, programa Z propio, flujo BCM, u otro.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AA0003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AA0003"/>
        </w:rPr>
        <w:t xml:space="preserve">(★)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Formato que SAP acepta hoy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MT940, BAI2, CAMT.053 o formato propio — y un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archivo de muestra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que se sepa que se procesa correctamente en su sistema.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AA0003"/>
        </w:rPr>
        <w:t xml:space="preserve"/>
        <w:tab/>
        <w:t xml:space="preserve">12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AA0003"/>
        </w:rPr>
        <w:t xml:space="preserve">(★)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Electronic Bank Statement (EBS)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¿está configurado? ¿reglas de contabilización y tipos de transacción definidos por house bank?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Bank Communication Management (BCM)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¿activo? (Viene incluido en EHP 7. Si está activo, cambia el destino de entrega.)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Particularidades del MT940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que su EBS interpreta: campos requeridos en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:86: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manejo de end-to-end IDs, reglas de parseo del descriptor, códigos de transacción personalizados.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Un archivo unificado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un archivo por house bank / company code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16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Cadencia de entrega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que SAP espera: tiempo real, lotes durante el día, fin de día.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17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Convención de nombres de archivo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que el job de SAP espera.</w:t>
      </w:r>
    </w:p>
    <w:p>
      <w:pPr>
        <w:spacing w:after="106"/>
      </w:pPr>
      <w:r>
        <w:rPr>
          <w:rFonts w:ascii="Arial" w:hAnsi="Arial" w:cs="Arial"/>
          <w:sz w:val="34"/>
          <w:sz-cs w:val="34"/>
          <w:b/>
          <w:spacing w:val="0"/>
          <w:color w:val="141414"/>
        </w:rPr>
        <w:t xml:space="preserve">D. Canal de entrega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AA0003"/>
        </w:rPr>
        <w:t xml:space="preserve"/>
        <w:tab/>
        <w:t xml:space="preserve">18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AA0003"/>
        </w:rPr>
        <w:t xml:space="preserve">(★)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Destino de entrega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SFTP del lado de SAP, directorio en el servidor de aplicación, cola de entrada de BCM, o carga manual.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19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Disparador del lado SAP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una vez que el archivo aterriza: job programado, BCM, acción de usuario.</w:t>
      </w:r>
    </w:p>
    <w:p>
      <w:pPr>
        <w:spacing w:after="106"/>
      </w:pPr>
      <w:r>
        <w:rPr>
          <w:rFonts w:ascii="Arial" w:hAnsi="Arial" w:cs="Arial"/>
          <w:sz w:val="34"/>
          <w:sz-cs w:val="34"/>
          <w:b/>
          <w:spacing w:val="0"/>
          <w:color w:val="141414"/>
        </w:rPr>
        <w:t xml:space="preserve">E. Red y acceso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20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Modelo de acceso entrante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VPN, SAP Cloud Connector, lista blanca de IPs, SFTP público.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Autenticación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usuario SAP para RFC/OData, usuario HANA de solo lectura, llaves SFTP — qué se puede aprovisionar y quién lo aprovisiona.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Mínimo para cerrar la propuesta comercial: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A1, A2, C10, C11, C12, D18.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Una vez resueltos estos seis puntos podemos enviar la propuesta. El resto se trabaja en sesiones técnicas conjuntas con su equipo Basis / partner SAP.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