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N3280 Pathophysiology — Midterm Study Guide (Week 2)</w:t>
      </w:r>
    </w:p>
    <w:p>
      <w:pPr>
        <w:spacing w:after="300"/>
      </w:pPr>
      <w:r>
        <w:rPr>
          <w:i/>
          <w:iCs/>
          <w:color w:val="555555"/>
          <w:sz w:val="20"/>
          <w:szCs w:val="20"/>
        </w:rPr>
        <w:t xml:space="preserve">Compiled from Dr. Gantioque's Week 2 lecture slides (Ch. 8: Alterations in Immunity, Ch. 9: Infection, Ch. 10: Stress and Disease, Ch. 11: Biology of Cancer, Ch. 12: Cancer Epidemiology, Ch. 13: Cancer in Children and Adolescents) and course study guide outline (Sections VI-IX). Section VI is a recap of Adaptive Immunity (first introduced in the Week 1 deck, Ch. 7) enriched with details the Week 2 slides build on directly.</w:t>
      </w:r>
    </w:p>
    <w:p>
      <w:pPr>
        <w:pStyle w:val="Heading1"/>
        <w:pBdr>
          <w:bottom w:val="single" w:color="1C7293" w:sz="6" w:space="4"/>
        </w:pBdr>
        <w:spacing w:after="150" w:before="400"/>
      </w:pPr>
      <w:r>
        <w:t xml:space="preserve">VI. Adaptive Immunity</w:t>
      </w:r>
    </w:p>
    <w:p>
      <w:pPr>
        <w:pStyle w:val="Heading2"/>
        <w:spacing w:after="100" w:before="260"/>
      </w:pPr>
      <w:r>
        <w:t xml:space="preserve">A. B and T Lymphocytes</w:t>
      </w:r>
    </w:p>
    <w:p>
      <w:pPr>
        <w:spacing w:after="60" w:before="180"/>
      </w:pPr>
      <w:r>
        <w:rPr>
          <w:b/>
          <w:bCs/>
          <w:color w:val="1C7293"/>
        </w:rPr>
        <w:t xml:space="preserve">1. Describe the role of B lymphocytes.</w:t>
      </w:r>
    </w:p>
    <w:p>
      <w:pPr>
        <w:spacing w:after="120"/>
        <w:jc w:val="left"/>
      </w:pPr>
      <w:r>
        <w:t xml:space="preserve">B cells are lymphocytes derived from the bone marrow. When an immunocompetent B cell encounters its specific antigen for the first time, B cells with matching B-cell receptors (BCRs) are stimulated to differentiate and proliferate. A differentiated B cell becomes a plasma cell, and plasma cells produce antibodies (immunoglobulins) — this is the basis of humoral immunity.</w:t>
      </w:r>
    </w:p>
    <w:p>
      <w:pPr>
        <w:spacing w:after="60" w:before="180"/>
      </w:pPr>
      <w:r>
        <w:rPr>
          <w:b/>
          <w:bCs/>
          <w:color w:val="1C7293"/>
        </w:rPr>
        <w:t xml:space="preserve">2. Describe the role of T lymphocytes.</w:t>
      </w:r>
    </w:p>
    <w:p>
      <w:pPr>
        <w:spacing w:after="120"/>
        <w:jc w:val="left"/>
      </w:pPr>
      <w:r>
        <w:t xml:space="preserve">T cells are lymphocytes derived from the thymus. They mediate cellular immunity, circulating in blood and tissues to defend against intracellular pathogens and abnormal (virus-infected or cancerous) cells. T-cytotoxic (Tc) cells react with antigens on infected/cancerous cells and develop into effector cells that destroy them directly. Lymphokine-producing helper T-cell subsets — Th1 and Th17 cells — amplify the response indirectly: rather than killing target cells themselves, they recruit and activate phagocytic cells. (Your Week 2 slides highlight Th1/Th17 specifically in the context of Type IV delayed hypersensitivity — see Section VII.A.2 — where tissue damage comes from direct Tc killing or Th1/Th17-recruited phagocytes.)</w:t>
      </w:r>
    </w:p>
    <w:p>
      <w:pPr>
        <w:spacing w:after="60" w:before="180"/>
      </w:pPr>
      <w:r>
        <w:rPr>
          <w:b/>
          <w:bCs/>
          <w:color w:val="1C7293"/>
        </w:rPr>
        <w:t xml:space="preserve">3. Explain how adaptive immunity works with innate immunity.</w:t>
      </w:r>
    </w:p>
    <w:p>
      <w:pPr>
        <w:spacing w:after="120"/>
        <w:jc w:val="left"/>
      </w:pPr>
      <w:r>
        <w:t xml:space="preserve">Adaptive immunity is mobilized after external barriers have been compromised and inflammation (innate immunity) has already been activated. Antigen-presenting cells (APCs) of the innate system — such as macrophages and dendritic cells — capture and present antigens to T and B cells via the major histocompatibility complex (MHC), linking the rapid, nonspecific innate response to the slower, specific, and long-lasting adaptive response. Unlike inflammation, adaptive immunity is inducible, specific, long-lived, and has memory.</w:t>
      </w:r>
    </w:p>
    <w:p>
      <w:pPr>
        <w:pStyle w:val="Heading2"/>
        <w:spacing w:after="100" w:before="260"/>
      </w:pPr>
      <w:r>
        <w:t xml:space="preserve">B. Active and Passive Immunity</w:t>
      </w:r>
    </w:p>
    <w:p>
      <w:pPr>
        <w:spacing w:after="60" w:before="180"/>
      </w:pPr>
      <w:r>
        <w:rPr>
          <w:b/>
          <w:bCs/>
          <w:color w:val="1C7293"/>
        </w:rPr>
        <w:t xml:space="preserve">1. Differentiate active immunity from passive immunity.</w:t>
      </w:r>
    </w:p>
    <w:p>
      <w:pPr>
        <w:pStyle w:val="ListParagraph"/>
        <w:numPr>
          <w:ilvl w:val="0"/>
          <w:numId w:val="1"/>
        </w:numPr>
        <w:spacing w:after="60"/>
      </w:pPr>
      <w:r>
        <w:t xml:space="preserve">Active immunity — develops after exposure to an antigen (e.g., through infection or vaccination); it is long-lived because the body generates its own antibodies/memory cells. Your Week 2 slides tie this directly to vaccines: the primary response to a vaccine is short-lived, so booster injections push the immune response through the secondary response, generating large numbers of memory cells and sustained protective antibody/T-cell levels.</w:t>
      </w:r>
    </w:p>
    <w:p>
      <w:pPr>
        <w:pStyle w:val="ListParagraph"/>
        <w:numPr>
          <w:ilvl w:val="0"/>
          <w:numId w:val="1"/>
        </w:numPr>
        <w:spacing w:after="60"/>
      </w:pPr>
      <w:r>
        <w:t xml:space="preserve">Passive immunity — preformed antibodies or T cells are administered to the individual; it is temporary because the recipient's own immune system was not activated to produce memory cells. Week 2 examples of passive immunotherapy: human immunoglobulin for hepatitis, immunoglobulin/monoclonal antibody for rabies, and monoclonal antibody for RSV.</w:t>
      </w:r>
    </w:p>
    <w:p>
      <w:pPr>
        <w:spacing w:after="60"/>
      </w:pPr>
    </w:p>
    <w:p>
      <w:pPr>
        <w:spacing w:after="60" w:before="180"/>
      </w:pPr>
      <w:r>
        <w:rPr>
          <w:b/>
          <w:bCs/>
          <w:color w:val="1C7293"/>
        </w:rPr>
        <w:t xml:space="preserve">2. Compare natural and artificial immunity.</w:t>
      </w:r>
    </w:p>
    <w:p>
      <w:pPr>
        <w:pStyle w:val="ListParagraph"/>
        <w:numPr>
          <w:ilvl w:val="0"/>
          <w:numId w:val="1"/>
        </w:numPr>
        <w:spacing w:after="60"/>
      </w:pPr>
      <w:r>
        <w:t xml:space="preserve">Natural active immunity — develops after natural infection with a pathogen.</w:t>
      </w:r>
    </w:p>
    <w:p>
      <w:pPr>
        <w:pStyle w:val="ListParagraph"/>
        <w:numPr>
          <w:ilvl w:val="0"/>
          <w:numId w:val="1"/>
        </w:numPr>
        <w:spacing w:after="60"/>
      </w:pPr>
      <w:r>
        <w:t xml:space="preserve">Artificial (induced) active immunity — develops after vaccination with antigen (a "biologic preparation of antigens that stimulates production of protective antibodies," per Week 2 slides).</w:t>
      </w:r>
    </w:p>
    <w:p>
      <w:pPr>
        <w:pStyle w:val="ListParagraph"/>
        <w:numPr>
          <w:ilvl w:val="0"/>
          <w:numId w:val="1"/>
        </w:numPr>
        <w:spacing w:after="60"/>
      </w:pPr>
      <w:r>
        <w:t xml:space="preserve">Natural passive immunity — antibodies transferred naturally (e.g., transplacental IgG transfer to the fetus, or IgA in breast milk).</w:t>
      </w:r>
    </w:p>
    <w:p>
      <w:pPr>
        <w:pStyle w:val="ListParagraph"/>
        <w:numPr>
          <w:ilvl w:val="0"/>
          <w:numId w:val="1"/>
        </w:numPr>
        <w:spacing w:after="60"/>
      </w:pPr>
      <w:r>
        <w:t xml:space="preserve">Artificial passive immunity — preformed antibodies given therapeutically (e.g., immune globulin injections, monoclonal antibodies — see passive immunotherapy examples above).</w:t>
      </w:r>
    </w:p>
    <w:p>
      <w:pPr>
        <w:spacing w:after="60"/>
      </w:pPr>
    </w:p>
    <w:p>
      <w:pPr>
        <w:pStyle w:val="Heading2"/>
        <w:spacing w:after="100" w:before="260"/>
      </w:pPr>
      <w:r>
        <w:t xml:space="preserve">C. Antigens and Immune Activation</w:t>
      </w:r>
    </w:p>
    <w:p>
      <w:pPr>
        <w:spacing w:after="60" w:before="180"/>
      </w:pPr>
      <w:r>
        <w:rPr>
          <w:b/>
          <w:bCs/>
          <w:color w:val="1C7293"/>
        </w:rPr>
        <w:t xml:space="preserve">1. Define antigen.</w:t>
      </w:r>
    </w:p>
    <w:p>
      <w:pPr>
        <w:spacing w:after="120"/>
        <w:jc w:val="left"/>
      </w:pPr>
      <w:r>
        <w:t xml:space="preserve">An antigen is a molecule found on the surface of microbes, infected cells, or abnormal tissues; antigens are the molecular targets recognized and bound by antibodies and lymphocyte receptors.</w:t>
      </w:r>
    </w:p>
    <w:p>
      <w:pPr>
        <w:spacing w:after="60" w:before="180"/>
      </w:pPr>
      <w:r>
        <w:rPr>
          <w:b/>
          <w:bCs/>
          <w:color w:val="1C7293"/>
        </w:rPr>
        <w:t xml:space="preserve">2. Differentiate types of antigens.</w:t>
      </w:r>
    </w:p>
    <w:p>
      <w:pPr>
        <w:pStyle w:val="ListParagraph"/>
        <w:numPr>
          <w:ilvl w:val="0"/>
          <w:numId w:val="1"/>
        </w:numPr>
        <w:spacing w:after="60"/>
      </w:pPr>
      <w:r>
        <w:t xml:space="preserve">Endogenous (intracellular) antigens — produced within the body's own cells; presented on MHC class I molecules.</w:t>
      </w:r>
    </w:p>
    <w:p>
      <w:pPr>
        <w:pStyle w:val="ListParagraph"/>
        <w:numPr>
          <w:ilvl w:val="0"/>
          <w:numId w:val="1"/>
        </w:numPr>
        <w:spacing w:after="60"/>
      </w:pPr>
      <w:r>
        <w:t xml:space="preserve">Exogenous antigens — originate outside the cell; presented on MHC class II molecules.</w:t>
      </w:r>
    </w:p>
    <w:p>
      <w:pPr>
        <w:pStyle w:val="ListParagraph"/>
        <w:numPr>
          <w:ilvl w:val="0"/>
          <w:numId w:val="1"/>
        </w:numPr>
        <w:spacing w:after="60"/>
      </w:pPr>
      <w:r>
        <w:t xml:space="preserve">Autoantigens — the body's own normal molecules, mistakenly recognized as foreign; central to autoimmune disease (Section VII.B). Week 2 slides describe autoimmunity as a "breakdown of tolerance," where self-antigens not normally seen by the immune system come to be recognized as foreign.</w:t>
      </w:r>
    </w:p>
    <w:p>
      <w:pPr>
        <w:pStyle w:val="ListParagraph"/>
        <w:numPr>
          <w:ilvl w:val="0"/>
          <w:numId w:val="1"/>
        </w:numPr>
        <w:spacing w:after="60"/>
      </w:pPr>
      <w:r>
        <w:t xml:space="preserve">Alloantigens — nonself antigens from members of the same species (e.g., blood group antigens, histocompatibility/HLA antigens), central to alloimmunity (Section VII.B).</w:t>
      </w:r>
    </w:p>
    <w:p>
      <w:pPr>
        <w:spacing w:after="60"/>
      </w:pPr>
    </w:p>
    <w:p>
      <w:pPr>
        <w:spacing w:after="60" w:before="180"/>
      </w:pPr>
      <w:r>
        <w:rPr>
          <w:b/>
          <w:bCs/>
          <w:color w:val="1C7293"/>
        </w:rPr>
        <w:t xml:space="preserve">3. Explain clonal diversity.</w:t>
      </w:r>
    </w:p>
    <w:p>
      <w:pPr>
        <w:spacing w:after="120"/>
        <w:jc w:val="left"/>
      </w:pPr>
      <w:r>
        <w:t xml:space="preserve">Clonal diversity refers to the vast repertoire of genetically distinct B and T lymphocytes, each bearing a unique antigen receptor, generated during lymphocyte development before any antigen exposure. This diversity ensures the immune system has at least a few lymphocytes capable of recognizing virtually any antigen it might encounter.</w:t>
      </w:r>
    </w:p>
    <w:p>
      <w:pPr>
        <w:spacing w:after="60" w:before="180"/>
      </w:pPr>
      <w:r>
        <w:rPr>
          <w:b/>
          <w:bCs/>
          <w:color w:val="1C7293"/>
        </w:rPr>
        <w:t xml:space="preserve">4. Explain clonal selection.</w:t>
      </w:r>
    </w:p>
    <w:p>
      <w:pPr>
        <w:spacing w:after="120"/>
        <w:jc w:val="left"/>
      </w:pPr>
      <w:r>
        <w:t xml:space="preserve">Clonal selection is initiated when T and B cells interact with an antigen (presented on APCs, or via MHC for abnormal/endogenous antigens). This selects out and activates the matching lymphocyte clone(s), producing antibody-secreting plasma cells (from B cells) and effector T cells such as T-cytotoxic cells. In cancer, this same antigen-recognition machinery underlies tumor-associated antigen recognition and the immune surveillance hypothesis (Section IX.C.3).</w:t>
      </w:r>
    </w:p>
    <w:p>
      <w:pPr>
        <w:spacing w:after="60" w:before="180"/>
      </w:pPr>
      <w:r>
        <w:rPr>
          <w:b/>
          <w:bCs/>
          <w:color w:val="1C7293"/>
        </w:rPr>
        <w:t xml:space="preserve">5. Define superantigens.</w:t>
      </w:r>
    </w:p>
    <w:p>
      <w:pPr>
        <w:spacing w:after="120"/>
        <w:jc w:val="left"/>
      </w:pPr>
      <w:r>
        <w:t xml:space="preserve">Superantigens (SAGs) are microbial proteins that bind to the T-cell receptor (TCR) and MHC class II molecules outside their normal antigen-specific binding sites, activating a large population of T lymphocytes regardless of antigen specificity. This induces excessive cytokine production and a systemic inflammatory reaction — fever, low blood pressure, and potentially shock.</w:t>
      </w:r>
    </w:p>
    <w:p>
      <w:pPr>
        <w:pStyle w:val="Heading2"/>
        <w:spacing w:after="100" w:before="260"/>
      </w:pPr>
      <w:r>
        <w:t xml:space="preserve">D. Humoral and Cell-Mediated Immunity</w:t>
      </w:r>
    </w:p>
    <w:p>
      <w:pPr>
        <w:spacing w:after="60" w:before="180"/>
      </w:pPr>
      <w:r>
        <w:rPr>
          <w:b/>
          <w:bCs/>
          <w:color w:val="1C7293"/>
        </w:rPr>
        <w:t xml:space="preserve">1. Differentiate humoral immunity from cell-mediated immunity.</w:t>
      </w:r>
    </w:p>
    <w:p>
      <w:pPr>
        <w:pStyle w:val="ListParagraph"/>
        <w:numPr>
          <w:ilvl w:val="0"/>
          <w:numId w:val="1"/>
        </w:numPr>
        <w:spacing w:after="60"/>
      </w:pPr>
      <w:r>
        <w:t xml:space="preserve">Humoral immunity — mediated by antibodies circulating in the blood (from B cells/plasma cells); antibodies bind antigens on bacteria and viruses. Type II and Type III hypersensitivity reactions (Section VII.A.2) are both antibody-mediated, illustrating humoral immunity gone awry.</w:t>
      </w:r>
    </w:p>
    <w:p>
      <w:pPr>
        <w:pStyle w:val="ListParagraph"/>
        <w:numPr>
          <w:ilvl w:val="0"/>
          <w:numId w:val="1"/>
        </w:numPr>
        <w:spacing w:after="60"/>
      </w:pPr>
      <w:r>
        <w:t xml:space="preserve">Cellular (cell-mediated) immunity — mediated by T cells in blood and tissues; defends against intracellular pathogens and abnormal cells directly. Type IV hypersensitivity (Section VII.A.2) is the cell-mediated counterpart, involving no antibody at all.</w:t>
      </w:r>
    </w:p>
    <w:p>
      <w:pPr>
        <w:spacing w:after="60"/>
      </w:pPr>
    </w:p>
    <w:p>
      <w:pPr>
        <w:spacing w:after="60" w:before="180"/>
      </w:pPr>
      <w:r>
        <w:rPr>
          <w:b/>
          <w:bCs/>
          <w:color w:val="1C7293"/>
        </w:rPr>
        <w:t xml:space="preserve">2. Describe antigen binding, processing, and presentation.</w:t>
      </w:r>
    </w:p>
    <w:p>
      <w:pPr>
        <w:spacing w:after="120"/>
        <w:jc w:val="left"/>
      </w:pPr>
      <w:r>
        <w:t xml:space="preserve">Antigen-presenting cells (APCs — macrophages, dendritic cells) engulf and process antigens, then display antigen fragments bound to MHC molecules on their surface: MHC class I presents endogenous (intracellular) antigens, MHC class II presents exogenous antigens. T cells recognize the antigen-MHC complex via the T-cell receptor (TCR), which — with co-stimulatory signals and cytokine exposure — triggers T-cell activation.</w:t>
      </w:r>
    </w:p>
    <w:p>
      <w:pPr>
        <w:spacing w:after="60" w:before="180"/>
      </w:pPr>
      <w:r>
        <w:rPr>
          <w:b/>
          <w:bCs/>
          <w:color w:val="1C7293"/>
        </w:rPr>
        <w:t xml:space="preserve">3. Explain the structure and function of antibodies.</w:t>
      </w:r>
    </w:p>
    <w:p>
      <w:pPr>
        <w:spacing w:after="120"/>
        <w:jc w:val="left"/>
      </w:pPr>
      <w:r>
        <w:t xml:space="preserve">Antibodies (immunoglobulins) are Y-shaped proteins made of four polypeptide chains: two light chains and two heavy chains. The antigen-binding fragment (Fab, or variable region) contains the recognition sites for antigenic determinants. The crystalline fragment (Fc) is responsible for biologic function. The antigen-binding site (paratope) matches the antigenic determinant (epitope) like a "key into a lock."</w:t>
      </w:r>
    </w:p>
    <w:p>
      <w:pPr>
        <w:spacing w:after="60" w:before="180"/>
      </w:pPr>
      <w:r>
        <w:rPr>
          <w:b/>
          <w:bCs/>
          <w:color w:val="1C7293"/>
        </w:rPr>
        <w:t xml:space="preserve">4. Identify the major immunoglobulin classes.</w:t>
      </w:r>
    </w:p>
    <w:p>
      <w:pPr>
        <w:pStyle w:val="ListParagraph"/>
        <w:numPr>
          <w:ilvl w:val="0"/>
          <w:numId w:val="1"/>
        </w:numPr>
        <w:spacing w:after="60"/>
      </w:pPr>
      <w:r>
        <w:t xml:space="preserve">IgG — most abundant (80-85%); most protective activity against infection; only Ig transported across the placenta.</w:t>
      </w:r>
    </w:p>
    <w:p>
      <w:pPr>
        <w:pStyle w:val="ListParagraph"/>
        <w:numPr>
          <w:ilvl w:val="0"/>
          <w:numId w:val="1"/>
        </w:numPr>
        <w:spacing w:after="60"/>
      </w:pPr>
      <w:r>
        <w:t xml:space="preserve">IgA — predominant in blood; secretory IgA predominates in secretions (tears, saliva, mucus, breast milk).</w:t>
      </w:r>
    </w:p>
    <w:p>
      <w:pPr>
        <w:pStyle w:val="ListParagraph"/>
        <w:numPr>
          <w:ilvl w:val="0"/>
          <w:numId w:val="1"/>
        </w:numPr>
        <w:spacing w:after="60"/>
      </w:pPr>
      <w:r>
        <w:t xml:space="preserve">IgM — largest Ig (pentamer); first antibody produced in the primary response; synthesized early in neonatal life.</w:t>
      </w:r>
    </w:p>
    <w:p>
      <w:pPr>
        <w:pStyle w:val="ListParagraph"/>
        <w:numPr>
          <w:ilvl w:val="0"/>
          <w:numId w:val="1"/>
        </w:numPr>
        <w:spacing w:after="60"/>
      </w:pPr>
      <w:r>
        <w:t xml:space="preserve">IgE — low blood concentration; defends against parasites; bound to mast cells; drives Type I hypersensitivity/allergic reactions (Section VII.A).</w:t>
      </w:r>
    </w:p>
    <w:p>
      <w:pPr>
        <w:pStyle w:val="ListParagraph"/>
        <w:numPr>
          <w:ilvl w:val="0"/>
          <w:numId w:val="1"/>
        </w:numPr>
        <w:spacing w:after="60"/>
      </w:pPr>
      <w:r>
        <w:t xml:space="preserve">IgD — low blood concentration; functions as a B-cell antigen receptor.</w:t>
      </w:r>
    </w:p>
    <w:p>
      <w:pPr>
        <w:spacing w:after="60"/>
      </w:pPr>
    </w:p>
    <w:p>
      <w:pPr>
        <w:spacing w:after="60" w:before="180"/>
      </w:pPr>
      <w:r>
        <w:rPr>
          <w:b/>
          <w:bCs/>
          <w:color w:val="1C7293"/>
        </w:rPr>
        <w:t xml:space="preserve">5. Differentiate direct and indirect antibody effects.</w:t>
      </w:r>
    </w:p>
    <w:p>
      <w:pPr>
        <w:pStyle w:val="ListParagraph"/>
        <w:numPr>
          <w:ilvl w:val="0"/>
          <w:numId w:val="1"/>
        </w:numPr>
        <w:spacing w:after="60"/>
      </w:pPr>
      <w:r>
        <w:t xml:space="preserve">Direct effects (antibody acting alone): neutralization, agglutination, precipitation.</w:t>
      </w:r>
    </w:p>
    <w:p>
      <w:pPr>
        <w:pStyle w:val="ListParagraph"/>
        <w:numPr>
          <w:ilvl w:val="0"/>
          <w:numId w:val="1"/>
        </w:numPr>
        <w:spacing w:after="60"/>
      </w:pPr>
      <w:r>
        <w:t xml:space="preserve">Indirect effects (require activation of other components): inflammation, phagocytosis, complement activation. Week 2 slides add a specific example under Type II hypersensitivity mechanisms: antibody-dependent cell-mediated cytotoxicity (ADCC), in which antibody coats a target cell and flags it for destruction by other immune effector cells rather than killing it directly — an indirect antibody effect central to how tissue-specific hypersensitivity damages cells (Section VII.A.2).</w:t>
      </w:r>
    </w:p>
    <w:p>
      <w:pPr>
        <w:spacing w:after="60"/>
      </w:pPr>
    </w:p>
    <w:p>
      <w:pPr>
        <w:spacing w:after="60" w:before="180"/>
      </w:pPr>
      <w:r>
        <w:rPr>
          <w:b/>
          <w:bCs/>
          <w:color w:val="1C7293"/>
        </w:rPr>
        <w:t xml:space="preserve">6. Compare primary and secondary immune responses.</w:t>
      </w:r>
    </w:p>
    <w:p>
      <w:pPr>
        <w:pStyle w:val="ListParagraph"/>
        <w:numPr>
          <w:ilvl w:val="0"/>
          <w:numId w:val="1"/>
        </w:numPr>
        <w:spacing w:after="60"/>
      </w:pPr>
      <w:r>
        <w:t xml:space="preserve">Primary response — initial exposure; latent/lag phase during clonal selection; IgM detectable after ~5-7 days, followed by an IgG response of similar or slightly lesser magnitude.</w:t>
      </w:r>
    </w:p>
    <w:p>
      <w:pPr>
        <w:pStyle w:val="ListParagraph"/>
        <w:numPr>
          <w:ilvl w:val="0"/>
          <w:numId w:val="1"/>
        </w:numPr>
        <w:spacing w:after="60"/>
      </w:pPr>
      <w:r>
        <w:t xml:space="preserve">Secondary response — subsequent exposure to the same antigen; faster, with much greater IgG production because memory cells need less further differentiation. This is the biologic basis for vaccine booster doses (Section VIII.A.7): boosters deliberately trigger a secondary response to build a larger, longer-lasting memory cell population.</w:t>
      </w:r>
    </w:p>
    <w:p>
      <w:pPr>
        <w:spacing w:after="60"/>
      </w:pPr>
    </w:p>
    <w:p>
      <w:pPr>
        <w:spacing w:after="60" w:before="180"/>
      </w:pPr>
      <w:r>
        <w:rPr>
          <w:b/>
          <w:bCs/>
          <w:color w:val="1C7293"/>
        </w:rPr>
        <w:t xml:space="preserve">7. Compare secretory and systemic immune systems.</w:t>
      </w:r>
    </w:p>
    <w:p>
      <w:pPr>
        <w:spacing w:after="120"/>
        <w:jc w:val="left"/>
      </w:pPr>
      <w:r>
        <w:t xml:space="preserve">The secretory (mucosal) immune system protects external body surfaces; antibodies are present in tears, sweat, saliva, mucus, and breast milk, with IgA dominant. The systemic immune system operates through the bloodstream and internal lymphoid organs, where IgG dominates and protects internal tissues.</w:t>
      </w:r>
    </w:p>
    <w:p>
      <w:pPr>
        <w:pStyle w:val="Heading2"/>
        <w:spacing w:after="100" w:before="260"/>
      </w:pPr>
      <w:r>
        <w:t xml:space="preserve">E. T-Lymphocyte Function</w:t>
      </w:r>
    </w:p>
    <w:p>
      <w:pPr>
        <w:spacing w:after="60" w:before="180"/>
      </w:pPr>
      <w:r>
        <w:rPr>
          <w:b/>
          <w:bCs/>
          <w:color w:val="1C7293"/>
        </w:rPr>
        <w:t xml:space="preserve">1. Describe the major types of T lymphocytes.</w:t>
      </w:r>
    </w:p>
    <w:p>
      <w:pPr>
        <w:pStyle w:val="ListParagraph"/>
        <w:numPr>
          <w:ilvl w:val="0"/>
          <w:numId w:val="1"/>
        </w:numPr>
        <w:spacing w:after="60"/>
      </w:pPr>
      <w:r>
        <w:t xml:space="preserve">T-cytotoxic (Tc) cells — react with antigens on virus-infected or cancerous cells and become effector cells that directly destroy the abnormal cell.</w:t>
      </w:r>
    </w:p>
    <w:p>
      <w:pPr>
        <w:pStyle w:val="ListParagraph"/>
        <w:numPr>
          <w:ilvl w:val="0"/>
          <w:numId w:val="1"/>
        </w:numPr>
        <w:spacing w:after="60"/>
      </w:pPr>
      <w:r>
        <w:t xml:space="preserve">T-helper (Th) cells, including Th1 and Th17 subsets — assist by releasing lymphokines/cytokines that activate B cells, macrophages, and other T cells, or that recruit phagocytic cells to a site of damage (rather than killing target cells themselves). Your Week 2 slides specifically call out Th1 and Th17 cells as the lymphokine-producing subsets responsible for the phagocyte-recruitment arm of Type IV delayed hypersensitivity (Section VII.A.2).</w:t>
      </w:r>
    </w:p>
    <w:p>
      <w:pPr>
        <w:pStyle w:val="ListParagraph"/>
        <w:numPr>
          <w:ilvl w:val="0"/>
          <w:numId w:val="1"/>
        </w:numPr>
        <w:spacing w:after="60"/>
      </w:pPr>
      <w:r>
        <w:t xml:space="preserve">T-regulatory lymphocytes — provide peripheral tolerance by suppressing the immune response, helping prevent autoimmunity.</w:t>
      </w:r>
    </w:p>
    <w:p>
      <w:pPr>
        <w:pStyle w:val="ListParagraph"/>
        <w:numPr>
          <w:ilvl w:val="0"/>
          <w:numId w:val="1"/>
        </w:numPr>
        <w:spacing w:after="60"/>
      </w:pPr>
      <w:r>
        <w:t xml:space="preserve">Lymphokine-secreting T cells — amplify inflammation through cytokine release.</w:t>
      </w:r>
    </w:p>
    <w:p>
      <w:pPr>
        <w:spacing w:after="60"/>
      </w:pPr>
    </w:p>
    <w:p>
      <w:pPr>
        <w:spacing w:after="60" w:before="180"/>
      </w:pPr>
      <w:r>
        <w:rPr>
          <w:b/>
          <w:bCs/>
          <w:color w:val="1C7293"/>
        </w:rPr>
        <w:t xml:space="preserve">2. Explain how T lymphocytes develop from stem cells.</w:t>
      </w:r>
    </w:p>
    <w:p>
      <w:pPr>
        <w:spacing w:after="120"/>
        <w:jc w:val="left"/>
      </w:pPr>
      <w:r>
        <w:t xml:space="preserve">T lymphocytes originate from hematopoietic stem cells in the bone marrow, then migrate to the thymus, where they mature ("thymus-derived") and undergo selection processes that eliminate self-reactive cells, producing a diverse population of mature, antigen-specific T cells that enter circulation.</w:t>
      </w:r>
    </w:p>
    <w:p>
      <w:pPr>
        <w:spacing w:after="60" w:before="180"/>
      </w:pPr>
      <w:r>
        <w:rPr>
          <w:b/>
          <w:bCs/>
          <w:color w:val="1C7293"/>
        </w:rPr>
        <w:t xml:space="preserve">3. Describe changes in immune function in infants and older adults.</w:t>
      </w:r>
    </w:p>
    <w:p>
      <w:pPr>
        <w:pStyle w:val="ListParagraph"/>
        <w:numPr>
          <w:ilvl w:val="0"/>
          <w:numId w:val="1"/>
        </w:numPr>
        <w:spacing w:after="60"/>
      </w:pPr>
      <w:r>
        <w:t xml:space="preserve">Infants — the immune system is immature at birth; IgM is synthesized early in neonatal life, but protective IgG is largely obtained passively from the mother across the placenta; infants rely heavily on this passive immunity and on breast milk IgA until their own adaptive immune system fully matures, making them more vulnerable to infection. Week 2 slides reinforce this vulnerability in the context of pediatric AIDS (Section VII.C.3): infection progresses rapidly in infants, with common neurologic involvement, because their adaptive immune system is not yet mature enough to contain the virus.</w:t>
      </w:r>
    </w:p>
    <w:p>
      <w:pPr>
        <w:pStyle w:val="ListParagraph"/>
        <w:numPr>
          <w:ilvl w:val="0"/>
          <w:numId w:val="1"/>
        </w:numPr>
        <w:spacing w:after="60"/>
      </w:pPr>
      <w:r>
        <w:t xml:space="preserve">Older adults — decreased T-cell activity; thymic size shrinks to about 15% of its maximum size, thymic hormone production drops, and the organ's ability to mediate T-cell differentiation declines; there is also decreased antibody response to antigens (immunosenescence), increasing susceptibility to infection and reducing vaccine effectiveness.</w:t>
      </w:r>
    </w:p>
    <w:p>
      <w:pPr>
        <w:spacing w:after="60"/>
      </w:pPr>
    </w:p>
    <w:p>
      <w:pPr>
        <w:pStyle w:val="Heading1"/>
        <w:pBdr>
          <w:bottom w:val="single" w:color="1C7293" w:sz="6" w:space="4"/>
        </w:pBdr>
        <w:spacing w:after="150" w:before="400"/>
      </w:pPr>
      <w:r>
        <w:t xml:space="preserve">VII. Hypersensitivity, Autoimmunity, Alloimmunity, and Immunodeficiency</w:t>
      </w:r>
    </w:p>
    <w:p>
      <w:pPr>
        <w:pStyle w:val="Heading2"/>
        <w:spacing w:after="100" w:before="260"/>
      </w:pPr>
      <w:r>
        <w:t xml:space="preserve">A. Hypersensitivity Reactions</w:t>
      </w:r>
    </w:p>
    <w:p>
      <w:pPr>
        <w:spacing w:after="60" w:before="180"/>
      </w:pPr>
      <w:r>
        <w:rPr>
          <w:b/>
          <w:bCs/>
          <w:color w:val="1C7293"/>
        </w:rPr>
        <w:t xml:space="preserve">1. Identify major stimuli of hypersensitivity.</w:t>
      </w:r>
    </w:p>
    <w:p>
      <w:pPr>
        <w:pStyle w:val="ListParagraph"/>
        <w:numPr>
          <w:ilvl w:val="0"/>
          <w:numId w:val="1"/>
        </w:numPr>
        <w:spacing w:after="60"/>
      </w:pPr>
      <w:r>
        <w:t xml:space="preserve">Allergy — deleterious effects of hypersensitivity to environmental (exogenous) antigens.</w:t>
      </w:r>
    </w:p>
    <w:p>
      <w:pPr>
        <w:pStyle w:val="ListParagraph"/>
        <w:numPr>
          <w:ilvl w:val="0"/>
          <w:numId w:val="1"/>
        </w:numPr>
        <w:spacing w:after="60"/>
      </w:pPr>
      <w:r>
        <w:t xml:space="preserve">Autoimmunity — a disturbance in the immunologic tolerance of self-antigens.</w:t>
      </w:r>
    </w:p>
    <w:p>
      <w:pPr>
        <w:pStyle w:val="ListParagraph"/>
        <w:numPr>
          <w:ilvl w:val="0"/>
          <w:numId w:val="1"/>
        </w:numPr>
        <w:spacing w:after="60"/>
      </w:pPr>
      <w:r>
        <w:t xml:space="preserve">Alloimmunity — an immune reaction to tissues of another individual (of the same species).</w:t>
      </w:r>
    </w:p>
    <w:p>
      <w:pPr>
        <w:pStyle w:val="ListParagraph"/>
        <w:numPr>
          <w:ilvl w:val="0"/>
          <w:numId w:val="1"/>
        </w:numPr>
        <w:spacing w:after="60"/>
      </w:pPr>
      <w:r>
        <w:t xml:space="preserve">Immune deficiency — an immune reaction insufficient to protect the host.</w:t>
      </w:r>
    </w:p>
    <w:p>
      <w:pPr>
        <w:spacing w:after="60"/>
      </w:pPr>
    </w:p>
    <w:p>
      <w:pPr>
        <w:spacing w:after="60" w:before="180"/>
      </w:pPr>
      <w:r>
        <w:rPr>
          <w:b/>
          <w:bCs/>
          <w:color w:val="1C7293"/>
        </w:rPr>
        <w:t xml:space="preserve">2. Compare the four types of hypersensitivity reactions.</w:t>
      </w:r>
    </w:p>
    <w:p>
      <w:pPr>
        <w:pStyle w:val="ListParagraph"/>
        <w:numPr>
          <w:ilvl w:val="0"/>
          <w:numId w:val="1"/>
        </w:numPr>
        <w:spacing w:after="60"/>
      </w:pPr>
      <w:r>
        <w:t xml:space="preserve">Type I (IgE-mediated) — reaction against environmental antigens (allergens); IgE binds to Fc receptors on mast cells ("sensitized"); re-exposure triggers histamine release via mast cell degranulation; treated with antihistamines.</w:t>
      </w:r>
    </w:p>
    <w:p>
      <w:pPr>
        <w:pStyle w:val="ListParagraph"/>
        <w:numPr>
          <w:ilvl w:val="0"/>
          <w:numId w:val="1"/>
        </w:numPr>
        <w:spacing w:after="60"/>
      </w:pPr>
      <w:r>
        <w:t xml:space="preserve">Type II (Tissue-specific/antibody-mediated cytotoxic) — a specific cell or tissue is the target of the immune response; symptoms depend on the tissue/organ involved. Five mechanisms: (1) cell destroyed by antibodies + complement, (2) cell destruction through phagocytosis, (3) tissue damage from neutrophil products, (4) antibody-dependent cell-mediated cytotoxicity (ADCC), (5) target cell malfunction without destruction (e.g., Graves disease targeting the thyroid).</w:t>
      </w:r>
    </w:p>
    <w:p>
      <w:pPr>
        <w:pStyle w:val="ListParagraph"/>
        <w:numPr>
          <w:ilvl w:val="0"/>
          <w:numId w:val="1"/>
        </w:numPr>
        <w:spacing w:after="60"/>
      </w:pPr>
      <w:r>
        <w:t xml:space="preserve">Type III (Immune complex-mediated) — antigen-antibody complexes form in the circulation and are later deposited in vessel walls or extravascular tissue; antibodies bind soluble antigens in blood/body fluids; large numbers of lysosomal enzymes are released; not organ-specific. Manifestations include serum sickness (e.g., Raynaud phenomenon) and the Arthus reaction (vasculitis from repeated local exposure, e.g., celiac disease).</w:t>
      </w:r>
    </w:p>
    <w:p>
      <w:pPr>
        <w:pStyle w:val="ListParagraph"/>
        <w:numPr>
          <w:ilvl w:val="0"/>
          <w:numId w:val="1"/>
        </w:numPr>
        <w:spacing w:after="60"/>
      </w:pPr>
      <w:r>
        <w:t xml:space="preserve">Type IV (Delayed, cell-mediated) — does not involve antibody; mediated by cytotoxic T lymphocytes or lymphokine-producing Th1/Th17 cells, via direct killing by Tc cells or recruitment of phagocytes by Th1/Th17 cells. Examples: graft rejection, tuberculin skin test, contact allergy from poison ivy or metals.</w:t>
      </w:r>
    </w:p>
    <w:p>
      <w:pPr>
        <w:spacing w:after="60"/>
      </w:pPr>
    </w:p>
    <w:p>
      <w:pPr>
        <w:spacing w:after="60" w:before="180"/>
      </w:pPr>
      <w:r>
        <w:rPr>
          <w:b/>
          <w:bCs/>
          <w:color w:val="1C7293"/>
        </w:rPr>
        <w:t xml:space="preserve">3. Differentiate immediate from delayed hypersensitivity.</w:t>
      </w:r>
    </w:p>
    <w:p>
      <w:pPr>
        <w:spacing w:after="120"/>
        <w:jc w:val="left"/>
      </w:pPr>
      <w:r>
        <w:t xml:space="preserve">Immediate hypersensitivity reactions (Types I, II, and III) are antibody-mediated and occur rapidly (minutes to hours) after antigen exposure. Delayed hypersensitivity (Type IV) is cell-mediated (T-lymphocyte driven), does not involve antibody, and takes substantially longer to develop (24-72+ hours) because it depends on recruitment/activation of sensitized T cells.</w:t>
      </w:r>
    </w:p>
    <w:p>
      <w:pPr>
        <w:spacing w:after="60" w:before="180"/>
      </w:pPr>
      <w:r>
        <w:rPr>
          <w:b/>
          <w:bCs/>
          <w:color w:val="1C7293"/>
        </w:rPr>
        <w:t xml:space="preserve">4. Explain how sensitization occurs in Type I hypersensitivity.</w:t>
      </w:r>
    </w:p>
    <w:p>
      <w:pPr>
        <w:spacing w:after="120"/>
        <w:jc w:val="left"/>
      </w:pPr>
      <w:r>
        <w:t xml:space="preserve">On exposure to an allergen, a genetically predisposed (atopic) individual produces IgE antibodies specific to that allergen. This IgE binds to Fc receptors on the surface of mast cells — this state is called "sensitized." On subsequent re-exposure to the allergen, cross-linking of the mast cell-bound IgE triggers mast cell degranulation and histamine release, producing the clinical allergic reaction.</w:t>
      </w:r>
    </w:p>
    <w:p>
      <w:pPr>
        <w:spacing w:after="60" w:before="180"/>
      </w:pPr>
      <w:r>
        <w:rPr>
          <w:b/>
          <w:bCs/>
          <w:color w:val="1C7293"/>
        </w:rPr>
        <w:t xml:space="preserve">5. Identify common clinical manifestations of allergic reactions.</w:t>
      </w:r>
    </w:p>
    <w:p>
      <w:pPr>
        <w:pStyle w:val="ListParagraph"/>
        <w:numPr>
          <w:ilvl w:val="0"/>
          <w:numId w:val="1"/>
        </w:numPr>
        <w:spacing w:after="60"/>
      </w:pPr>
      <w:r>
        <w:t xml:space="preserve">GI allergy — vomiting, diarrhea, abdominal pain.</w:t>
      </w:r>
    </w:p>
    <w:p>
      <w:pPr>
        <w:pStyle w:val="ListParagraph"/>
        <w:numPr>
          <w:ilvl w:val="0"/>
          <w:numId w:val="1"/>
        </w:numPr>
        <w:spacing w:after="60"/>
      </w:pPr>
      <w:r>
        <w:t xml:space="preserve">Skin manifestations — urticaria (hives).</w:t>
      </w:r>
    </w:p>
    <w:p>
      <w:pPr>
        <w:pStyle w:val="ListParagraph"/>
        <w:numPr>
          <w:ilvl w:val="0"/>
          <w:numId w:val="1"/>
        </w:numPr>
        <w:spacing w:after="60"/>
      </w:pPr>
      <w:r>
        <w:t xml:space="preserve">Mucosal allergens — conjunctivitis, rhinitis, asthma.</w:t>
      </w:r>
    </w:p>
    <w:p>
      <w:pPr>
        <w:pStyle w:val="ListParagraph"/>
        <w:numPr>
          <w:ilvl w:val="0"/>
          <w:numId w:val="1"/>
        </w:numPr>
        <w:spacing w:after="60"/>
      </w:pPr>
      <w:r>
        <w:t xml:space="preserve">Lung allergens — asthma, bronchospasm, edema, thick secretions.</w:t>
      </w:r>
    </w:p>
    <w:p>
      <w:pPr>
        <w:pStyle w:val="ListParagraph"/>
        <w:numPr>
          <w:ilvl w:val="0"/>
          <w:numId w:val="1"/>
        </w:numPr>
        <w:spacing w:after="60"/>
      </w:pPr>
      <w:r>
        <w:t xml:space="preserve">Anaphylaxis — the most rapid and severe immediate hypersensitivity reaction; occurs within minutes of re-exposure to the antigen; can be systemic or cutaneous; the most severe reactions can lead to death (common triggers: bee stings, peanuts, shellfish, eggs).</w:t>
      </w:r>
    </w:p>
    <w:p>
      <w:pPr>
        <w:spacing w:after="60"/>
      </w:pPr>
    </w:p>
    <w:p>
      <w:pPr>
        <w:pStyle w:val="Heading2"/>
        <w:spacing w:after="100" w:before="260"/>
      </w:pPr>
      <w:r>
        <w:t xml:space="preserve">B. Autoimmunity and Alloimmunity</w:t>
      </w:r>
    </w:p>
    <w:p>
      <w:pPr>
        <w:spacing w:after="60" w:before="180"/>
      </w:pPr>
      <w:r>
        <w:rPr>
          <w:b/>
          <w:bCs/>
          <w:color w:val="1C7293"/>
        </w:rPr>
        <w:t xml:space="preserve">1. Define autoimmune disease and provide examples.</w:t>
      </w:r>
    </w:p>
    <w:p>
      <w:pPr>
        <w:spacing w:after="120"/>
        <w:jc w:val="left"/>
      </w:pPr>
      <w:r>
        <w:t xml:space="preserve">Autoimmunity results from a breakdown of tolerance — the body begins to recognize self-antigens as foreign — caused by genetic, environmental, and random factors. Systemic lupus erythematosus (SLE) is the most common autoimmune disease: it results from deposition of circulating immune complexes containing antibody against host DNA, producing symptoms via Type II or III hypersensitivity mechanisms. SLE is more common in females; manifestations include arthralgias/arthritis, vasculitis and rash, renal disease, hematologic changes, and cardiovascular disease. Manifestations wax and wane and can affect all body systems, making diagnosis difficult; laboratory diagnosis is based on a positive ANA (antinuclear antibody) screen.</w:t>
      </w:r>
    </w:p>
    <w:p>
      <w:pPr>
        <w:spacing w:after="60" w:before="180"/>
      </w:pPr>
      <w:r>
        <w:rPr>
          <w:b/>
          <w:bCs/>
          <w:color w:val="1C7293"/>
        </w:rPr>
        <w:t xml:space="preserve">2. Define alloimmune disease and provide examples.</w:t>
      </w:r>
    </w:p>
    <w:p>
      <w:pPr>
        <w:spacing w:after="120"/>
        <w:jc w:val="left"/>
      </w:pPr>
      <w:r>
        <w:t xml:space="preserve">Alloimmunity is a reaction against another individual's tissues, involving alloantigens (nonself antigens from members of the same species, such as blood group antigens and histocompatibility antigens). Examples: transfusion reactions, transplant rejection, and immune reactions against a fetus during pregnancy.</w:t>
      </w:r>
    </w:p>
    <w:p>
      <w:pPr>
        <w:spacing w:after="60" w:before="180"/>
      </w:pPr>
      <w:r>
        <w:rPr>
          <w:b/>
          <w:bCs/>
          <w:color w:val="1C7293"/>
        </w:rPr>
        <w:t xml:space="preserve">3. Describe blood group antigens and transfusion compatibility.</w:t>
      </w:r>
    </w:p>
    <w:p>
      <w:pPr>
        <w:spacing w:after="120"/>
        <w:jc w:val="left"/>
      </w:pPr>
      <w:r>
        <w:t xml:space="preserve">The ABO blood group is based on A and B carbohydrate antigens; blood type is determined by which are expressed: type A, type B, type O (neither expressed), or type AB (both expressed). A transfusion reaction occurs when a person receives blood of an incompatible type. Type O is the universal donor (no A or B antigen to trigger a reaction); type AB is the universal recipient (already has both antigens, so no antibodies against A or B).</w:t>
      </w:r>
    </w:p>
    <w:p>
      <w:pPr>
        <w:spacing w:after="60" w:before="180"/>
      </w:pPr>
      <w:r>
        <w:rPr>
          <w:b/>
          <w:bCs/>
          <w:color w:val="1C7293"/>
        </w:rPr>
        <w:t xml:space="preserve">4. Explain the importance of the Rh antigen in women of childbearing age.</w:t>
      </w:r>
    </w:p>
    <w:p>
      <w:pPr>
        <w:spacing w:after="120"/>
        <w:jc w:val="left"/>
      </w:pPr>
      <w:r>
        <w:t xml:space="preserve">The Rh blood group antigen is expressed only on red blood cells; individuals are Rh-positive or Rh-negative. When an Rh-negative mother carries an Rh-positive fetus, fetal Rh-positive cells that enter maternal circulation can sensitize her to produce anti-Rh antibodies. In a subsequent Rh-positive pregnancy, these maternal antibodies can cross the placenta and destroy fetal red blood cells, causing hemolytic disease of the newborn.</w:t>
      </w:r>
    </w:p>
    <w:p>
      <w:pPr>
        <w:spacing w:after="60" w:before="180"/>
      </w:pPr>
      <w:r>
        <w:rPr>
          <w:b/>
          <w:bCs/>
          <w:color w:val="1C7293"/>
        </w:rPr>
        <w:t xml:space="preserve">5. Explain the significance of HLA compatibility in transplantation.</w:t>
      </w:r>
    </w:p>
    <w:p>
      <w:pPr>
        <w:spacing w:after="120"/>
        <w:jc w:val="left"/>
      </w:pPr>
      <w:r>
        <w:t xml:space="preserve">The major histocompatibility complex (MHC) and human leukocyte antigens (HLAs) are the major targets of transplant rejection. Rejection is classified by timing: hyperacute (immediate and rare, from preexisting antibody to graft antigens), acute (days to months, a cell-mediated immune response), and chronic (months to years, a weak cell-mediated reaction against minor HLA antigens). Closer HLA matching between donor and recipient reduces the risk and severity of these rejection responses.</w:t>
      </w:r>
    </w:p>
    <w:p>
      <w:pPr>
        <w:pStyle w:val="Heading2"/>
        <w:spacing w:after="100" w:before="260"/>
      </w:pPr>
      <w:r>
        <w:t xml:space="preserve">C. Immunodeficiency and HIV/AIDS</w:t>
      </w:r>
    </w:p>
    <w:p>
      <w:pPr>
        <w:spacing w:after="60" w:before="180"/>
      </w:pPr>
      <w:r>
        <w:rPr>
          <w:b/>
          <w:bCs/>
          <w:color w:val="1C7293"/>
        </w:rPr>
        <w:t xml:space="preserve">1. Differentiate congenital and acquired immunodeficiencies.</w:t>
      </w:r>
    </w:p>
    <w:p>
      <w:pPr>
        <w:pStyle w:val="ListParagraph"/>
        <w:numPr>
          <w:ilvl w:val="0"/>
          <w:numId w:val="1"/>
        </w:numPr>
        <w:spacing w:after="60"/>
      </w:pPr>
      <w:r>
        <w:t xml:space="preserve">Primary (congenital) immunodeficiency — results from a genetic anomaly; most are caused by a single gene defect; generally not inherited; may appear early or late in life; rare but increasing. Major groups: combined deficiencies, antibody-deficient, phagocytic defects, innate immunity defects, and complement defects. Clinical clues: T-cell deficiencies predispose to viral/fungal/yeast/atypical infections; B-cell and phagocyte deficiencies predispose to infections by organisms requiring opsonization; complement deficiencies (e.g., C3 deficiency — the most severe, due to its central role in the complement cascade — and mannose-binding lectin deficiency) increase risk of recurrent, life-threatening infections.</w:t>
      </w:r>
    </w:p>
    <w:p>
      <w:pPr>
        <w:pStyle w:val="ListParagraph"/>
        <w:numPr>
          <w:ilvl w:val="0"/>
          <w:numId w:val="1"/>
        </w:numPr>
        <w:spacing w:after="60"/>
      </w:pPr>
      <w:r>
        <w:t xml:space="preserve">Secondary (acquired) immunodeficiency — caused by another illness or exposure; far more common than primary deficiency. Severe causes include malignancy (late-stage malignancies cause generalized immune deficiency; many patients with cancer die from infection rather than the tumor itself), immunosuppressive treatments (corticosteroids, chemotherapeutic agents, irradiation, antirejection drugs), and AIDS.</w:t>
      </w:r>
    </w:p>
    <w:p>
      <w:pPr>
        <w:spacing w:after="60"/>
      </w:pPr>
    </w:p>
    <w:p>
      <w:pPr>
        <w:spacing w:after="60" w:before="180"/>
      </w:pPr>
      <w:r>
        <w:rPr>
          <w:b/>
          <w:bCs/>
          <w:color w:val="1C7293"/>
        </w:rPr>
        <w:t xml:space="preserve">2. Explain the pathogenesis of HIV infection.</w:t>
      </w:r>
    </w:p>
    <w:p>
      <w:pPr>
        <w:spacing w:after="120"/>
        <w:jc w:val="left"/>
      </w:pPr>
      <w:r>
        <w:t xml:space="preserve">HIV is a blood-borne retrovirus; heterosexual activity is the most common transmission route worldwide, and women are affected more often. HIV's genetic information is RNA, packaged inside a capsid enclosed in an envelope along with reverse transcriptase, integrase, and protease. Its life cycle: attachment to the target cell (a T-helper/CD4+ lymphocyte) → release of the viral capsid into the cytoplasm → insertion of viral RNA (via reverse transcription) into the host cell's genetic material → formation and release of new virions, which carry some host cell membrane, making them less vulnerable to adaptive immune attack. HIV depletes the body's helper T (Th/CD4+) cells, creating a generalized immune deficiency.</w:t>
      </w:r>
    </w:p>
    <w:p>
      <w:pPr>
        <w:spacing w:after="60" w:before="180"/>
      </w:pPr>
      <w:r>
        <w:rPr>
          <w:b/>
          <w:bCs/>
          <w:color w:val="1C7293"/>
        </w:rPr>
        <w:t xml:space="preserve">3. Describe progression from HIV infection to AIDS.</w:t>
      </w:r>
    </w:p>
    <w:p>
      <w:pPr>
        <w:pStyle w:val="ListParagraph"/>
        <w:numPr>
          <w:ilvl w:val="0"/>
          <w:numId w:val="1"/>
        </w:numPr>
        <w:spacing w:after="60"/>
      </w:pPr>
      <w:r>
        <w:t xml:space="preserve">Serologically negative — no detectable antibody yet.</w:t>
      </w:r>
    </w:p>
    <w:p>
      <w:pPr>
        <w:pStyle w:val="ListParagraph"/>
        <w:numPr>
          <w:ilvl w:val="0"/>
          <w:numId w:val="1"/>
        </w:numPr>
        <w:spacing w:after="60"/>
      </w:pPr>
      <w:r>
        <w:t xml:space="preserve">Serologically positive but asymptomatic — antibody against HIV proteins is detectable, but no symptoms.</w:t>
      </w:r>
    </w:p>
    <w:p>
      <w:pPr>
        <w:pStyle w:val="ListParagraph"/>
        <w:numPr>
          <w:ilvl w:val="0"/>
          <w:numId w:val="1"/>
        </w:numPr>
        <w:spacing w:after="60"/>
      </w:pPr>
      <w:r>
        <w:t xml:space="preserve">Early stages of HIV — mild, nonspecific symptoms resembling influenza; disappear after 1-6 weeks.</w:t>
      </w:r>
    </w:p>
    <w:p>
      <w:pPr>
        <w:pStyle w:val="ListParagraph"/>
        <w:numPr>
          <w:ilvl w:val="0"/>
          <w:numId w:val="1"/>
        </w:numPr>
        <w:spacing w:after="60"/>
      </w:pPr>
      <w:r>
        <w:t xml:space="preserve">AIDS — the most advanced stage; more serious signs and symptoms, atypical or opportunistic infections and cancers, and debilitating chronic disease. AIDS is diagnosed by decreased CD4+ T-cell numbers (&lt;200/mm3).</w:t>
      </w:r>
    </w:p>
    <w:p>
      <w:pPr>
        <w:spacing w:after="60"/>
      </w:pPr>
    </w:p>
    <w:p>
      <w:pPr>
        <w:spacing w:after="120"/>
        <w:jc w:val="left"/>
      </w:pPr>
      <w:r>
        <w:t xml:space="preserve">Treatment/prevention: antiretroviral therapy (ART) combines chemokine receptor inhibitors, HIV fusion inhibitors, reverse transcriptase inhibitors, HIV integrase inhibitors, and HIV protease inhibitors. ART has significantly reduced deaths but is not curative. Pediatric AIDS is transmitted during pregnancy, at delivery, or through breastfeeding; ART in pregnant women decreases transmission risk; neurologic involvement is common and infection progresses rapidly in infants, so treatment must begin at diagnosis.</w:t>
      </w:r>
    </w:p>
    <w:p>
      <w:pPr>
        <w:spacing w:after="60" w:before="180"/>
      </w:pPr>
      <w:r>
        <w:rPr>
          <w:b/>
          <w:bCs/>
          <w:color w:val="1C7293"/>
        </w:rPr>
        <w:t xml:space="preserve">4. Identify clinical symptoms that may indicate HIV infection or progression to AIDS.</w:t>
      </w:r>
    </w:p>
    <w:p>
      <w:pPr>
        <w:pStyle w:val="ListParagraph"/>
        <w:numPr>
          <w:ilvl w:val="0"/>
          <w:numId w:val="1"/>
        </w:numPr>
        <w:spacing w:after="60"/>
      </w:pPr>
      <w:r>
        <w:t xml:space="preserve">Early HIV infection — mild, nonspecific, flu-like symptoms that resolve within 1-6 weeks.</w:t>
      </w:r>
    </w:p>
    <w:p>
      <w:pPr>
        <w:pStyle w:val="ListParagraph"/>
        <w:numPr>
          <w:ilvl w:val="0"/>
          <w:numId w:val="1"/>
        </w:numPr>
        <w:spacing w:after="60"/>
      </w:pPr>
      <w:r>
        <w:t xml:space="preserve">Progression to AIDS — atypical or opportunistic infections and cancers, and debilitating chronic disease, corresponding to a CD4+ count below 200/mm3.</w:t>
      </w:r>
    </w:p>
    <w:p>
      <w:pPr>
        <w:spacing w:after="60"/>
      </w:pPr>
    </w:p>
    <w:p>
      <w:pPr>
        <w:pStyle w:val="Heading1"/>
        <w:pBdr>
          <w:bottom w:val="single" w:color="1C7293" w:sz="6" w:space="4"/>
        </w:pBdr>
        <w:spacing w:after="150" w:before="400"/>
      </w:pPr>
      <w:r>
        <w:t xml:space="preserve">VIII. Infection and Stress Response</w:t>
      </w:r>
    </w:p>
    <w:p>
      <w:pPr>
        <w:pStyle w:val="Heading2"/>
        <w:spacing w:after="100" w:before="260"/>
      </w:pPr>
      <w:r>
        <w:t xml:space="preserve">A. Microorganisms and Infection</w:t>
      </w:r>
    </w:p>
    <w:p>
      <w:pPr>
        <w:spacing w:after="60" w:before="180"/>
      </w:pPr>
      <w:r>
        <w:rPr>
          <w:b/>
          <w:bCs/>
          <w:color w:val="1C7293"/>
        </w:rPr>
        <w:t xml:space="preserve">1. Explain how symbiotic microorganisms affect human health.</w:t>
      </w:r>
    </w:p>
    <w:p>
      <w:pPr>
        <w:spacing w:after="120"/>
        <w:jc w:val="left"/>
      </w:pPr>
      <w:r>
        <w:t xml:space="preserve">Humans and microorganisms exist in several types of relationships: symbiosis (living together), including mutualism (both organisms benefit) and commensalism (one benefits, the other is unaffected); and pathogenicity/opportunism, where an organism causes disease (often only under certain conditions). The normal microbiome is made up of symbiotic microorganisms that generally benefit the host; disruption of this balance can allow opportunistic infection.</w:t>
      </w:r>
    </w:p>
    <w:p>
      <w:pPr>
        <w:spacing w:after="60" w:before="180"/>
      </w:pPr>
      <w:r>
        <w:rPr>
          <w:b/>
          <w:bCs/>
          <w:color w:val="1C7293"/>
        </w:rPr>
        <w:t xml:space="preserve">2. Describe the process of infection.</w:t>
      </w:r>
    </w:p>
    <w:p>
      <w:pPr>
        <w:pStyle w:val="ListParagraph"/>
        <w:numPr>
          <w:ilvl w:val="0"/>
          <w:numId w:val="1"/>
        </w:numPr>
        <w:spacing w:after="60"/>
      </w:pPr>
      <w:r>
        <w:t xml:space="preserve">Encounter — exposure to a microorganism, which may be endogenous (already present in/on the host) or exogenous (from outside the host).</w:t>
      </w:r>
    </w:p>
    <w:p>
      <w:pPr>
        <w:pStyle w:val="ListParagraph"/>
        <w:numPr>
          <w:ilvl w:val="0"/>
          <w:numId w:val="1"/>
        </w:numPr>
        <w:spacing w:after="60"/>
      </w:pPr>
      <w:r>
        <w:t xml:space="preserve">Transmission — direct transmission/contact or indirect transmission (e.g., via a vector or contaminated surface).</w:t>
      </w:r>
    </w:p>
    <w:p>
      <w:pPr>
        <w:pStyle w:val="ListParagraph"/>
        <w:numPr>
          <w:ilvl w:val="0"/>
          <w:numId w:val="1"/>
        </w:numPr>
        <w:spacing w:after="60"/>
      </w:pPr>
      <w:r>
        <w:t xml:space="preserve">Colonization — the ability of the organism to survive and multiply in the human environment.</w:t>
      </w:r>
    </w:p>
    <w:p>
      <w:pPr>
        <w:pStyle w:val="ListParagraph"/>
        <w:numPr>
          <w:ilvl w:val="0"/>
          <w:numId w:val="1"/>
        </w:numPr>
        <w:spacing w:after="60"/>
      </w:pPr>
      <w:r>
        <w:t xml:space="preserve">Invasion (penetration) — the ability to cross surface barriers.</w:t>
      </w:r>
    </w:p>
    <w:p>
      <w:pPr>
        <w:pStyle w:val="ListParagraph"/>
        <w:numPr>
          <w:ilvl w:val="0"/>
          <w:numId w:val="1"/>
        </w:numPr>
        <w:spacing w:after="60"/>
      </w:pPr>
      <w:r>
        <w:t xml:space="preserve">Dissemination — spread of the infection through the body, with cellular or tissue damage occurring directly (via toxin production) or indirectly (as a result of the host immune response). This overall sequence represents disease development.</w:t>
      </w:r>
    </w:p>
    <w:p>
      <w:pPr>
        <w:spacing w:after="60"/>
      </w:pPr>
    </w:p>
    <w:p>
      <w:pPr>
        <w:spacing w:after="120"/>
        <w:jc w:val="left"/>
      </w:pPr>
      <w:r>
        <w:t xml:space="preserve">Stages of clinical infection: incubation period (from exposure to first symptoms, as the pathogen colonizes) → prodromal stage (mild initial symptoms as the pathogen continues to multiply) → invasion/acute illness period (immune and inflammatory responses triggered as the pathogen rapidly multiplies and invades further) → convalescence (immune/inflammatory systems typically clear the pathogen and symptoms decline; alternatively, the disease may be fatal or enter a latency phase).</w:t>
      </w:r>
    </w:p>
    <w:p>
      <w:pPr>
        <w:spacing w:after="60" w:before="180"/>
      </w:pPr>
      <w:r>
        <w:rPr>
          <w:b/>
          <w:bCs/>
          <w:color w:val="1C7293"/>
        </w:rPr>
        <w:t xml:space="preserve">3. Identify factors that influence infection by a pathogen.</w:t>
      </w:r>
    </w:p>
    <w:p>
      <w:pPr>
        <w:pStyle w:val="ListParagraph"/>
        <w:numPr>
          <w:ilvl w:val="0"/>
          <w:numId w:val="1"/>
        </w:numPr>
        <w:spacing w:after="60"/>
      </w:pPr>
      <w:r>
        <w:t xml:space="preserve">Communicability — ability to spread from one individual to others and cause disease.</w:t>
      </w:r>
    </w:p>
    <w:p>
      <w:pPr>
        <w:pStyle w:val="ListParagraph"/>
        <w:numPr>
          <w:ilvl w:val="0"/>
          <w:numId w:val="1"/>
        </w:numPr>
        <w:spacing w:after="60"/>
      </w:pPr>
      <w:r>
        <w:t xml:space="preserve">Immunogenicity — ability to induce an immune response.</w:t>
      </w:r>
    </w:p>
    <w:p>
      <w:pPr>
        <w:pStyle w:val="ListParagraph"/>
        <w:numPr>
          <w:ilvl w:val="0"/>
          <w:numId w:val="1"/>
        </w:numPr>
        <w:spacing w:after="60"/>
      </w:pPr>
      <w:r>
        <w:t xml:space="preserve">Infectivity — ability to invade and multiply in the host.</w:t>
      </w:r>
    </w:p>
    <w:p>
      <w:pPr>
        <w:pStyle w:val="ListParagraph"/>
        <w:numPr>
          <w:ilvl w:val="0"/>
          <w:numId w:val="1"/>
        </w:numPr>
        <w:spacing w:after="60"/>
      </w:pPr>
      <w:r>
        <w:t xml:space="preserve">Mechanism of action — how the organism damages tissue.</w:t>
      </w:r>
    </w:p>
    <w:p>
      <w:pPr>
        <w:pStyle w:val="ListParagraph"/>
        <w:numPr>
          <w:ilvl w:val="0"/>
          <w:numId w:val="1"/>
        </w:numPr>
        <w:spacing w:after="60"/>
      </w:pPr>
      <w:r>
        <w:t xml:space="preserve">Pathogenicity — the ability of the agent to produce disease.</w:t>
      </w:r>
    </w:p>
    <w:p>
      <w:pPr>
        <w:pStyle w:val="ListParagraph"/>
        <w:numPr>
          <w:ilvl w:val="0"/>
          <w:numId w:val="1"/>
        </w:numPr>
        <w:spacing w:after="60"/>
      </w:pPr>
      <w:r>
        <w:t xml:space="preserve">Portal of entry — the route by which it infects the host.</w:t>
      </w:r>
    </w:p>
    <w:p>
      <w:pPr>
        <w:pStyle w:val="ListParagraph"/>
        <w:numPr>
          <w:ilvl w:val="0"/>
          <w:numId w:val="1"/>
        </w:numPr>
        <w:spacing w:after="60"/>
      </w:pPr>
      <w:r>
        <w:t xml:space="preserve">Toxigenicity — ability to produce soluble toxins or endotoxins.</w:t>
      </w:r>
    </w:p>
    <w:p>
      <w:pPr>
        <w:pStyle w:val="ListParagraph"/>
        <w:numPr>
          <w:ilvl w:val="0"/>
          <w:numId w:val="1"/>
        </w:numPr>
        <w:spacing w:after="60"/>
      </w:pPr>
      <w:r>
        <w:t xml:space="preserve">Virulence — capacity to cause severe disease.</w:t>
      </w:r>
    </w:p>
    <w:p>
      <w:pPr>
        <w:spacing w:after="60"/>
      </w:pPr>
    </w:p>
    <w:p>
      <w:pPr>
        <w:spacing w:after="60" w:before="180"/>
      </w:pPr>
      <w:r>
        <w:rPr>
          <w:b/>
          <w:bCs/>
          <w:color w:val="1C7293"/>
        </w:rPr>
        <w:t xml:space="preserve">4. Compare bacterial, viral, fungal, and parasitic infections.</w:t>
      </w:r>
    </w:p>
    <w:p>
      <w:pPr>
        <w:pStyle w:val="ListParagraph"/>
        <w:numPr>
          <w:ilvl w:val="0"/>
          <w:numId w:val="1"/>
        </w:numPr>
        <w:spacing w:after="60"/>
      </w:pPr>
      <w:r>
        <w:t xml:space="preserve">Bacterial — prokaryotes; aerobic or anaerobic, motile or immotile, gram-positive or gram-negative (e.g., Staphylococcus aureus). Virulence factors include pili/fimbria, flagella, capsules, enzymes, competition for iron/nutrients, and toxins (exotoxins — enzymes that damage host cell membranes or inactivate protein-synthesis enzymes; endotoxins — activate the inflammatory response and produce fever). Bacteremia is bacteria in the blood; septicemia involves gram-negative bacteria releasing large amounts of toxin in the blood, inducing overproduction of proinflammatory cytokines, fever, platelet activation, intravascular coagulation, and plasma leakage — potentially progressing to septic shock or multi-organ failure.</w:t>
      </w:r>
    </w:p>
    <w:p>
      <w:pPr>
        <w:pStyle w:val="ListParagraph"/>
        <w:numPr>
          <w:ilvl w:val="0"/>
          <w:numId w:val="1"/>
        </w:numPr>
        <w:spacing w:after="60"/>
      </w:pPr>
      <w:r>
        <w:t xml:space="preserve">Viral — cannot reproduce independently; must infect a host cell, with a life cycle of attachment → penetration → uncoating → replication → assembly → release. Effects on the infected cell include inhibition of host DNA/RNA/protein synthesis, disruption of lysosomal membranes, fusion of host cells into giant cells, altered antigenic properties, transformation to a cancer cell, and promotion of secondary bacterial infection. Transmission occurs via aerosol, infected blood, sexual contact, animal reservoir, or vector.</w:t>
      </w:r>
    </w:p>
    <w:p>
      <w:pPr>
        <w:pStyle w:val="ListParagraph"/>
        <w:numPr>
          <w:ilvl w:val="0"/>
          <w:numId w:val="1"/>
        </w:numPr>
        <w:spacing w:after="60"/>
      </w:pPr>
      <w:r>
        <w:t xml:space="preserve">Fungal — large eukaryotic organisms with thick, rigid cell walls lacking peptidoglycan (so they resist penicillins/cephalosporins); exist as single-celled yeasts (facultative anaerobes) or multicellular molds (aerobic, filamentous/hyphae), reproducing by division or budding. Diseases are called mycoses (superficial, deep, or opportunistic); dermatophytes invade skin/hair/nails causing tineas (ringworm). Candida albicans is the most common cause of fungal infection — normally a commensal organism that becomes pathogenic with overgrowth or immunocompromise.</w:t>
      </w:r>
    </w:p>
    <w:p>
      <w:pPr>
        <w:pStyle w:val="ListParagraph"/>
        <w:numPr>
          <w:ilvl w:val="0"/>
          <w:numId w:val="1"/>
        </w:numPr>
        <w:spacing w:after="60"/>
      </w:pPr>
      <w:r>
        <w:t xml:space="preserve">Parasitic — symbiotic organisms of widely varying size, including unicellular protozoa (e.g., malaria, amoebae, flagellates) and larger helminths (flukes, nematodes, tapeworms); transmitted through vectors or ingestion. Tissue damage results from the infestation itself, toxin production, or the host's inflammatory/immune response.</w:t>
      </w:r>
    </w:p>
    <w:p>
      <w:pPr>
        <w:spacing w:after="60"/>
      </w:pPr>
    </w:p>
    <w:p>
      <w:pPr>
        <w:spacing w:after="60" w:before="180"/>
      </w:pPr>
      <w:r>
        <w:rPr>
          <w:b/>
          <w:bCs/>
          <w:color w:val="1C7293"/>
        </w:rPr>
        <w:t xml:space="preserve">5. Differentiate antigenic drift from antigenic shift.</w:t>
      </w:r>
    </w:p>
    <w:p>
      <w:pPr>
        <w:spacing w:after="120"/>
        <w:jc w:val="left"/>
      </w:pPr>
      <w:r>
        <w:t xml:space="preserve">Both are forms of antigenic variation, in which a virus changes its surface antigens to elude the immune system. Antigenic drift is a minor, gradual change (small mutations accumulating over time). Antigenic shift is a major, abrupt change (e.g., from genetic reassortment between viral strains), which can produce a novel virus capable of causing pandemics because the population has little pre-existing immunity.</w:t>
      </w:r>
    </w:p>
    <w:p>
      <w:pPr>
        <w:spacing w:after="60" w:before="180"/>
      </w:pPr>
      <w:r>
        <w:rPr>
          <w:b/>
          <w:bCs/>
          <w:color w:val="1C7293"/>
        </w:rPr>
        <w:t xml:space="preserve">6. Explain how bacterial resistance to antibiotics occurs.</w:t>
      </w:r>
    </w:p>
    <w:p>
      <w:pPr>
        <w:spacing w:after="120"/>
        <w:jc w:val="left"/>
      </w:pPr>
      <w:r>
        <w:t xml:space="preserve">Antibiotics work by inhibiting cell wall function/production, preventing protein synthesis, blocking DNA replication, or interfering with folic acid metabolism; they may be bactericidal (kill the organism) or bacteriostatic (inhibit growth). Antibiotic resistance develops and spreads due to lack of compliance with drug regimens and overuse of antibiotics, and resistance can progress from a single antibiotic to multiple-antibiotic resistance, sometimes resulting in fatal infections.</w:t>
      </w:r>
    </w:p>
    <w:p>
      <w:pPr>
        <w:spacing w:after="60" w:before="180"/>
      </w:pPr>
      <w:r>
        <w:rPr>
          <w:b/>
          <w:bCs/>
          <w:color w:val="1C7293"/>
        </w:rPr>
        <w:t xml:space="preserve">7. Compare active immunization and passive immunotherapy.</w:t>
      </w:r>
    </w:p>
    <w:p>
      <w:pPr>
        <w:pStyle w:val="ListParagraph"/>
        <w:numPr>
          <w:ilvl w:val="0"/>
          <w:numId w:val="1"/>
        </w:numPr>
        <w:spacing w:after="60"/>
      </w:pPr>
      <w:r>
        <w:t xml:space="preserve">Active immunization (vaccines) — biologic preparations of antigens that stimulate the body's own production of protective antibodies, producing long-lasting immunity. The primary immune response to a vaccine is short-lived, so booster injections push the immune response through a secondary response, creating large numbers of memory cells and sustained protective antibody/T-cell levels.</w:t>
      </w:r>
    </w:p>
    <w:p>
      <w:pPr>
        <w:pStyle w:val="ListParagraph"/>
        <w:numPr>
          <w:ilvl w:val="0"/>
          <w:numId w:val="1"/>
        </w:numPr>
        <w:spacing w:after="60"/>
      </w:pPr>
      <w:r>
        <w:t xml:space="preserve">Passive immunotherapy — preformed antibodies are given directly to the patient (e.g., human immunoglobulin for hepatitis, immunoglobulin/monoclonal antibody for rabies, monoclonal antibody for RSV); protection is immediate but temporary since the patient's own immune system was not activated.</w:t>
      </w:r>
    </w:p>
    <w:p>
      <w:pPr>
        <w:spacing w:after="60"/>
      </w:pPr>
    </w:p>
    <w:p>
      <w:pPr>
        <w:pStyle w:val="Heading2"/>
        <w:spacing w:after="100" w:before="260"/>
      </w:pPr>
      <w:r>
        <w:t xml:space="preserve">B. General Adaptation Syndrome and Stress</w:t>
      </w:r>
    </w:p>
    <w:p>
      <w:pPr>
        <w:spacing w:after="60" w:before="180"/>
      </w:pPr>
      <w:r>
        <w:rPr>
          <w:b/>
          <w:bCs/>
          <w:color w:val="1C7293"/>
        </w:rPr>
        <w:t xml:space="preserve">1. Describe the physiologic basis of the general adaptation syndrome (GAS).</w:t>
      </w:r>
    </w:p>
    <w:p>
      <w:pPr>
        <w:spacing w:after="120"/>
        <w:jc w:val="left"/>
      </w:pPr>
      <w:r>
        <w:t xml:space="preserve">Stress is a perceived or anticipated threat that disrupts a person's well-being or homeostasis; demands can be physical (cold temperatures, heavy labor) or psychological (deadlines, competing demands). Walter Cannon described the "fight or flight" response. Hans Selye described the physiologic stress response — including adrenal gland enlargement, decreased lymphocyte levels, and development of bleeding ulcers — as the general adaptation syndrome (GAS): a generalized, non-specific physiologic response to stress that, if sustained, impairs the body's ability to resist future stressors.</w:t>
      </w:r>
    </w:p>
    <w:p>
      <w:pPr>
        <w:spacing w:after="60" w:before="180"/>
      </w:pPr>
      <w:r>
        <w:rPr>
          <w:b/>
          <w:bCs/>
          <w:color w:val="1C7293"/>
        </w:rPr>
        <w:t xml:space="preserve">2. Identify the stages of the general adaptation syndrome.</w:t>
      </w:r>
    </w:p>
    <w:p>
      <w:pPr>
        <w:pStyle w:val="ListParagraph"/>
        <w:numPr>
          <w:ilvl w:val="0"/>
          <w:numId w:val="1"/>
        </w:numPr>
        <w:spacing w:after="60"/>
      </w:pPr>
      <w:r>
        <w:t xml:space="preserve">Alarm stage — secretion of hormones and catecholamines to prepare for an emergency reaction; arousal of body defenses.</w:t>
      </w:r>
    </w:p>
    <w:p>
      <w:pPr>
        <w:pStyle w:val="ListParagraph"/>
        <w:numPr>
          <w:ilvl w:val="0"/>
          <w:numId w:val="1"/>
        </w:numPr>
        <w:spacing w:after="60"/>
      </w:pPr>
      <w:r>
        <w:t xml:space="preserve">Resistance (adaptation) stage — mobilization of the body's resources to handle a sustained challenge.</w:t>
      </w:r>
    </w:p>
    <w:p>
      <w:pPr>
        <w:pStyle w:val="ListParagraph"/>
        <w:numPr>
          <w:ilvl w:val="0"/>
          <w:numId w:val="1"/>
        </w:numPr>
        <w:spacing w:after="60"/>
      </w:pPr>
      <w:r>
        <w:t xml:space="preserve">Exhaustion stage (allostatic overload) — occurs if stress continues and adaptation is not successful; leads to stress-related disorders.</w:t>
      </w:r>
    </w:p>
    <w:p>
      <w:pPr>
        <w:spacing w:after="60"/>
      </w:pPr>
    </w:p>
    <w:p>
      <w:pPr>
        <w:spacing w:after="60" w:before="180"/>
      </w:pPr>
      <w:r>
        <w:rPr>
          <w:b/>
          <w:bCs/>
          <w:color w:val="1C7293"/>
        </w:rPr>
        <w:t xml:space="preserve">3. Explain the role of the hypothalamic-pituitary-adrenal (HPA) axis.</w:t>
      </w:r>
    </w:p>
    <w:p>
      <w:pPr>
        <w:spacing w:after="120"/>
        <w:jc w:val="left"/>
      </w:pPr>
      <w:r>
        <w:t xml:space="preserve">Perception or anticipation of a threat activates the HPA axis (along with the sympathetic nervous system and immune system): the hypothalamus secretes corticotropin-releasing hormone (CRH) → the pituitary releases adrenocorticotropic hormone (ACTH) → the adrenal glands secrete cortisol. This cascade modulates mediators that help protect the body, meet the demands of the stressor, and facilitate recovery.</w:t>
      </w:r>
    </w:p>
    <w:p>
      <w:pPr>
        <w:spacing w:after="60" w:before="180"/>
      </w:pPr>
      <w:r>
        <w:rPr>
          <w:b/>
          <w:bCs/>
          <w:color w:val="1C7293"/>
        </w:rPr>
        <w:t xml:space="preserve">4. Describe the effects of cortisol, epinephrine, and norepinephrine.</w:t>
      </w:r>
    </w:p>
    <w:p>
      <w:pPr>
        <w:pStyle w:val="ListParagraph"/>
        <w:numPr>
          <w:ilvl w:val="0"/>
          <w:numId w:val="1"/>
        </w:numPr>
        <w:spacing w:after="60"/>
      </w:pPr>
      <w:r>
        <w:t xml:space="preserve">Cortisol — secreted during stress; regulates arousal, cognition, mood, sleep, metabolism, cardiovascular tone, and growth/reproduction; stimulates gluconeogenesis and elevates blood glucose; affects protein metabolism; is a powerful anti-inflammatory and immunosuppressive agent. Chronic, abnormal cortisol elevation may cause obesity, sleep deprivation, lipid abnormalities, hypertension, diabetes, atherosclerosis, loss of bone density, cognitive impairment, emotional disorders, and gastric ulcers.</w:t>
      </w:r>
    </w:p>
    <w:p>
      <w:pPr>
        <w:pStyle w:val="ListParagraph"/>
        <w:numPr>
          <w:ilvl w:val="0"/>
          <w:numId w:val="1"/>
        </w:numPr>
        <w:spacing w:after="60"/>
      </w:pPr>
      <w:r>
        <w:t xml:space="preserve">Epinephrine and norepinephrine (catecholamines) — released rapidly upon sympathetic nervous system (SNS) activation; regulate the cardiovascular, pulmonary, hepatic, skeletal muscle, and immune systems by stimulating alpha-adrenergic (α1, α2) and beta-adrenergic (β1, β2) receptors; increase proinflammatory cytokine production. Chronic stress-induced norepinephrine release may contribute to vascular plaque formation, myocardial infarction, stroke, and a "sickness syndrome."</w:t>
      </w:r>
    </w:p>
    <w:p>
      <w:pPr>
        <w:spacing w:after="60"/>
      </w:pPr>
    </w:p>
    <w:p>
      <w:pPr>
        <w:spacing w:after="60" w:before="180"/>
      </w:pPr>
      <w:r>
        <w:rPr>
          <w:b/>
          <w:bCs/>
          <w:color w:val="1C7293"/>
        </w:rPr>
        <w:t xml:space="preserve">5. Identify other hormones affected by stress.</w:t>
      </w:r>
    </w:p>
    <w:p>
      <w:pPr>
        <w:spacing w:after="120"/>
        <w:jc w:val="left"/>
      </w:pPr>
      <w:r>
        <w:t xml:space="preserve">Besides cortisol, ACTH, and the catecholamines (epinephrine/norepinephrine), the stress response involves CRH and broadly affects the neuroendocrine mediators that regulate metabolism, reproduction, and immune function — the HPA axis and SNS activation together modulate a broad range of hormonal mediators to meet the demands of the stressor and facilitate recovery.</w:t>
      </w:r>
    </w:p>
    <w:p>
      <w:pPr>
        <w:spacing w:after="60" w:before="180"/>
      </w:pPr>
      <w:r>
        <w:rPr>
          <w:b/>
          <w:bCs/>
          <w:color w:val="1C7293"/>
        </w:rPr>
        <w:t xml:space="preserve">6. Explain the role of cytokines in stress.</w:t>
      </w:r>
    </w:p>
    <w:p>
      <w:pPr>
        <w:spacing w:after="120"/>
        <w:jc w:val="left"/>
      </w:pPr>
      <w:r>
        <w:t xml:space="preserve">Immune cells carry receptors for the products of the stress response, so stress directly modulates immune/cytokine activity. Catecholamines increase proinflammatory cytokine production, and stress increases endogenous opiate secretion, which can enhance or suppress immune cell function. The immune system also acts as a signal organ, alerting other body systems to stimuli. Chronic stress can cause persistent immune dysregulation and chronic inflammatory processes.</w:t>
      </w:r>
    </w:p>
    <w:p>
      <w:pPr>
        <w:spacing w:after="60" w:before="180"/>
      </w:pPr>
      <w:r>
        <w:rPr>
          <w:b/>
          <w:bCs/>
          <w:color w:val="1C7293"/>
        </w:rPr>
        <w:t xml:space="preserve">7. Describe the interaction between neuroendocrine and immune responses.</w:t>
      </w:r>
    </w:p>
    <w:p>
      <w:pPr>
        <w:spacing w:after="120"/>
        <w:jc w:val="left"/>
      </w:pPr>
      <w:r>
        <w:t xml:space="preserve">The HPA axis, sympathetic nervous system, and immune system are all activated together in response to a perceived threat and communicate bidirectionally — immune cells have receptors for stress hormones/catecholamines, and the immune system in turn signals back to the neuroendocrine system. This tight neuroendocrine-immune interaction, when chronically activated, contributes to conditions such as cardiovascular disease, osteoporosis, arthritis, type 2 diabetes, COPD, decreased NK-cell and T-cell cytotoxicity, promotion of tumor growth/metastasis, and burnout.</w:t>
      </w:r>
    </w:p>
    <w:p>
      <w:pPr>
        <w:spacing w:after="60" w:before="180"/>
      </w:pPr>
      <w:r>
        <w:rPr>
          <w:b/>
          <w:bCs/>
          <w:color w:val="1C7293"/>
        </w:rPr>
        <w:t xml:space="preserve">8. Apply the stress response to clinical or personal examples.</w:t>
      </w:r>
    </w:p>
    <w:p>
      <w:pPr>
        <w:spacing w:after="120"/>
        <w:jc w:val="left"/>
      </w:pPr>
      <w:r>
        <w:t xml:space="preserve">Example: a nursing student facing back-to-back exams (psychological stressor) may experience the alarm stage (racing heart, cortisol/catecholamine release) while cramming, move into resistance as they adapt and manage the workload over the semester, and — if stress is prolonged without adequate coping (e.g., poor sleep, no breaks) — reach exhaustion/allostatic overload, manifesting as illness, burnout, or worsened chronic conditions. Clinically, a patient with sustained critical illness or chronic pain may show HPA-axis-driven hyperglycemia, immune suppression (increasing infection risk), and delayed wound healing due to sustained cortisol elevation.</w:t>
      </w:r>
    </w:p>
    <w:p>
      <w:pPr>
        <w:spacing w:after="60" w:before="180"/>
      </w:pPr>
      <w:r>
        <w:rPr>
          <w:b/>
          <w:bCs/>
          <w:color w:val="1C7293"/>
        </w:rPr>
        <w:t xml:space="preserve">9. Explain the effects of stress in utero, on telomeres, and on long-term health.</w:t>
      </w:r>
    </w:p>
    <w:p>
      <w:pPr>
        <w:pStyle w:val="ListParagraph"/>
        <w:numPr>
          <w:ilvl w:val="0"/>
          <w:numId w:val="1"/>
        </w:numPr>
        <w:spacing w:after="60"/>
      </w:pPr>
      <w:r>
        <w:t xml:space="preserve">In utero — the stress system and brain development are shaped by early chronic/prenatal stress, increasing risk of later disease; prenatal stress is associated with spontaneous abortion, fetal malformations, preterm birth, and impaired child development.</w:t>
      </w:r>
    </w:p>
    <w:p>
      <w:pPr>
        <w:pStyle w:val="ListParagraph"/>
        <w:numPr>
          <w:ilvl w:val="0"/>
          <w:numId w:val="1"/>
        </w:numPr>
        <w:spacing w:after="60"/>
      </w:pPr>
      <w:r>
        <w:t xml:space="preserve">Telomeres — telomeres are protective DNA "caps" at chromosome ends that normally shorten with biologic aging; this shortening is accelerated by stress, which increases the risk of early death.</w:t>
      </w:r>
    </w:p>
    <w:p>
      <w:pPr>
        <w:pStyle w:val="ListParagraph"/>
        <w:numPr>
          <w:ilvl w:val="0"/>
          <w:numId w:val="1"/>
        </w:numPr>
        <w:spacing w:after="60"/>
      </w:pPr>
      <w:r>
        <w:t xml:space="preserve">Long-term health — allostatic overload from chronic stress contributes to a wide range of stress-related disorders (cardiovascular disease, immune dysregulation, metabolic disease, accelerated aging) via sustained neuroendocrine and immune system activation.</w:t>
      </w:r>
    </w:p>
    <w:p>
      <w:pPr>
        <w:spacing w:after="60"/>
      </w:pPr>
    </w:p>
    <w:p>
      <w:pPr>
        <w:spacing w:after="60" w:before="180"/>
      </w:pPr>
      <w:r>
        <w:rPr>
          <w:b/>
          <w:bCs/>
          <w:color w:val="1C7293"/>
        </w:rPr>
        <w:t xml:space="preserve">10. Identify factors that influence coping with stress.</w:t>
      </w:r>
    </w:p>
    <w:p>
      <w:pPr>
        <w:spacing w:after="120"/>
        <w:jc w:val="left"/>
      </w:pPr>
      <w:r>
        <w:t xml:space="preserve">Coping is the process of managing stressful challenges and may be adaptive or maladaptive. Personality contributes to an individual's stress response. Coping strategies are most beneficial when problem-focused and when social support is sought; maladaptive coping can contribute to adverse health effects. Evidence-based interventions include exercise (improves inflammation, increases brain metabolism/cognitive function, reduces obesity, beneficial at all ages) and mindfulness therapy (monitoring current experience with acceptance; modulates stress-induced cortisol secretion and dampens stress-activated brain regions).</w:t>
      </w:r>
    </w:p>
    <w:p>
      <w:pPr>
        <w:pStyle w:val="Heading1"/>
        <w:pBdr>
          <w:bottom w:val="single" w:color="1C7293" w:sz="6" w:space="4"/>
        </w:pBdr>
        <w:spacing w:after="150" w:before="400"/>
      </w:pPr>
      <w:r>
        <w:t xml:space="preserve">IX. Cancer Pathophysiology</w:t>
      </w:r>
    </w:p>
    <w:p>
      <w:pPr>
        <w:pStyle w:val="Heading2"/>
        <w:spacing w:after="100" w:before="260"/>
      </w:pPr>
      <w:r>
        <w:t xml:space="preserve">A. Tumor Biology</w:t>
      </w:r>
    </w:p>
    <w:p>
      <w:pPr>
        <w:spacing w:after="60" w:before="180"/>
      </w:pPr>
      <w:r>
        <w:rPr>
          <w:b/>
          <w:bCs/>
          <w:color w:val="1C7293"/>
        </w:rPr>
        <w:t xml:space="preserve">1. Differentiate benign from malignant tumors.</w:t>
      </w:r>
    </w:p>
    <w:p>
      <w:pPr>
        <w:pStyle w:val="ListParagraph"/>
        <w:numPr>
          <w:ilvl w:val="0"/>
          <w:numId w:val="1"/>
        </w:numPr>
        <w:spacing w:after="60"/>
      </w:pPr>
      <w:r>
        <w:t xml:space="preserve">Benign — grow slowly, encapsulated, not invasive, well differentiated, low mitotic index, do not metastasize. Named for the tissue of origin (e.g., lipoma from fat cells, leiomyoma from uterine smooth muscle, meningioma from meninges); may progress to cancer.</w:t>
      </w:r>
    </w:p>
    <w:p>
      <w:pPr>
        <w:pStyle w:val="ListParagraph"/>
        <w:numPr>
          <w:ilvl w:val="0"/>
          <w:numId w:val="1"/>
        </w:numPr>
        <w:spacing w:after="60"/>
      </w:pPr>
      <w:r>
        <w:t xml:space="preserve">Malignant — grow rapidly, not encapsulated, invasive, poorly differentiated, high mitotic index, can spread distantly (metastasize). Named according to the cell type of origin.</w:t>
      </w:r>
    </w:p>
    <w:p>
      <w:pPr>
        <w:spacing w:after="60"/>
      </w:pPr>
    </w:p>
    <w:p>
      <w:pPr>
        <w:spacing w:after="60" w:before="180"/>
      </w:pPr>
      <w:r>
        <w:rPr>
          <w:b/>
          <w:bCs/>
          <w:color w:val="1C7293"/>
        </w:rPr>
        <w:t xml:space="preserve">2. Classify cancers by cell type.</w:t>
      </w:r>
    </w:p>
    <w:p>
      <w:pPr>
        <w:pStyle w:val="ListParagraph"/>
        <w:numPr>
          <w:ilvl w:val="0"/>
          <w:numId w:val="1"/>
        </w:numPr>
        <w:spacing w:after="60"/>
      </w:pPr>
      <w:r>
        <w:t xml:space="preserve">Carcinoma — arises from epithelial tissue.</w:t>
      </w:r>
    </w:p>
    <w:p>
      <w:pPr>
        <w:pStyle w:val="ListParagraph"/>
        <w:numPr>
          <w:ilvl w:val="0"/>
          <w:numId w:val="1"/>
        </w:numPr>
        <w:spacing w:after="60"/>
      </w:pPr>
      <w:r>
        <w:t xml:space="preserve">Adenocarcinoma — arises from ductal or glandular tissue.</w:t>
      </w:r>
    </w:p>
    <w:p>
      <w:pPr>
        <w:pStyle w:val="ListParagraph"/>
        <w:numPr>
          <w:ilvl w:val="0"/>
          <w:numId w:val="1"/>
        </w:numPr>
        <w:spacing w:after="60"/>
      </w:pPr>
      <w:r>
        <w:t xml:space="preserve">Sarcoma — arises from mesenchymal tissue (connective tissue, bone, muscle).</w:t>
      </w:r>
    </w:p>
    <w:p>
      <w:pPr>
        <w:pStyle w:val="ListParagraph"/>
        <w:numPr>
          <w:ilvl w:val="0"/>
          <w:numId w:val="1"/>
        </w:numPr>
        <w:spacing w:after="60"/>
      </w:pPr>
      <w:r>
        <w:t xml:space="preserve">Lymphoma — arises from lymphatic tissue.</w:t>
      </w:r>
    </w:p>
    <w:p>
      <w:pPr>
        <w:pStyle w:val="ListParagraph"/>
        <w:numPr>
          <w:ilvl w:val="0"/>
          <w:numId w:val="1"/>
        </w:numPr>
        <w:spacing w:after="60"/>
      </w:pPr>
      <w:r>
        <w:t xml:space="preserve">Leukemia — arises from blood-forming cells.</w:t>
      </w:r>
    </w:p>
    <w:p>
      <w:pPr>
        <w:spacing w:after="60"/>
      </w:pPr>
    </w:p>
    <w:p>
      <w:pPr>
        <w:spacing w:after="120"/>
        <w:jc w:val="left"/>
      </w:pPr>
      <w:r>
        <w:t xml:space="preserve">Carcinoma in situ refers to early-stage, preinvasive epithelial tumors (glandular or squamous cell origin) that have not broken through the basement membrane or invaded surrounding stroma; outcomes vary — they may remain stable, progress to invasive/metastatic cancer, or regress and disappear.</w:t>
      </w:r>
    </w:p>
    <w:p>
      <w:pPr>
        <w:spacing w:after="60" w:before="180"/>
      </w:pPr>
      <w:r>
        <w:rPr>
          <w:b/>
          <w:bCs/>
          <w:color w:val="1C7293"/>
        </w:rPr>
        <w:t xml:space="preserve">3. Describe cell surface changes in cancer.</w:t>
      </w:r>
    </w:p>
    <w:p>
      <w:pPr>
        <w:spacing w:after="120"/>
        <w:jc w:val="left"/>
      </w:pPr>
      <w:r>
        <w:t xml:space="preserve">Cancer cells display tumor-associated antigens on their surface that differ from normal cells and can be recognized by the immune system (relevant to immune surveillance and immunotherapy). As cancer progresses, cells also lose normal cell-adhesion properties and undergo epithelial-mesenchymal transition (EMT), losing epithelial characteristics and gaining migratory capacity — key changes that enable invasion and metastasis.</w:t>
      </w:r>
    </w:p>
    <w:p>
      <w:pPr>
        <w:spacing w:after="60" w:before="180"/>
      </w:pPr>
      <w:r>
        <w:rPr>
          <w:b/>
          <w:bCs/>
          <w:color w:val="1C7293"/>
        </w:rPr>
        <w:t xml:space="preserve">4. Explain the hallmarks of cancer.</w:t>
      </w:r>
    </w:p>
    <w:p>
      <w:pPr>
        <w:spacing w:after="120"/>
        <w:jc w:val="left"/>
      </w:pPr>
      <w:r>
        <w:t xml:space="preserve">The hallmarks of cancer (Hanahan &amp; Weinberg) represent the biologic capabilities cancer cells acquire during development, primarily from genomic alterations:</w:t>
      </w:r>
    </w:p>
    <w:p>
      <w:pPr>
        <w:pStyle w:val="ListParagraph"/>
        <w:numPr>
          <w:ilvl w:val="0"/>
          <w:numId w:val="1"/>
        </w:numPr>
        <w:spacing w:after="60"/>
      </w:pPr>
      <w:r>
        <w:t xml:space="preserve">Sustained proliferative signaling</w:t>
      </w:r>
    </w:p>
    <w:p>
      <w:pPr>
        <w:pStyle w:val="ListParagraph"/>
        <w:numPr>
          <w:ilvl w:val="0"/>
          <w:numId w:val="1"/>
        </w:numPr>
        <w:spacing w:after="60"/>
      </w:pPr>
      <w:r>
        <w:t xml:space="preserve">Evading growth suppression</w:t>
      </w:r>
    </w:p>
    <w:p>
      <w:pPr>
        <w:pStyle w:val="ListParagraph"/>
        <w:numPr>
          <w:ilvl w:val="0"/>
          <w:numId w:val="1"/>
        </w:numPr>
        <w:spacing w:after="60"/>
      </w:pPr>
      <w:r>
        <w:t xml:space="preserve">Genomic instability</w:t>
      </w:r>
    </w:p>
    <w:p>
      <w:pPr>
        <w:pStyle w:val="ListParagraph"/>
        <w:numPr>
          <w:ilvl w:val="0"/>
          <w:numId w:val="1"/>
        </w:numPr>
        <w:spacing w:after="60"/>
      </w:pPr>
      <w:r>
        <w:t xml:space="preserve">Replicative immortality</w:t>
      </w:r>
    </w:p>
    <w:p>
      <w:pPr>
        <w:pStyle w:val="ListParagraph"/>
        <w:numPr>
          <w:ilvl w:val="0"/>
          <w:numId w:val="1"/>
        </w:numPr>
        <w:spacing w:after="60"/>
      </w:pPr>
      <w:r>
        <w:t xml:space="preserve">Angiogenesis</w:t>
      </w:r>
    </w:p>
    <w:p>
      <w:pPr>
        <w:pStyle w:val="ListParagraph"/>
        <w:numPr>
          <w:ilvl w:val="0"/>
          <w:numId w:val="1"/>
        </w:numPr>
        <w:spacing w:after="60"/>
      </w:pPr>
      <w:r>
        <w:t xml:space="preserve">Reprogramming energy metabolism</w:t>
      </w:r>
    </w:p>
    <w:p>
      <w:pPr>
        <w:pStyle w:val="ListParagraph"/>
        <w:numPr>
          <w:ilvl w:val="0"/>
          <w:numId w:val="1"/>
        </w:numPr>
        <w:spacing w:after="60"/>
      </w:pPr>
      <w:r>
        <w:t xml:space="preserve">Resistance to apoptotic cell death</w:t>
      </w:r>
    </w:p>
    <w:p>
      <w:pPr>
        <w:pStyle w:val="ListParagraph"/>
        <w:numPr>
          <w:ilvl w:val="0"/>
          <w:numId w:val="1"/>
        </w:numPr>
        <w:spacing w:after="60"/>
      </w:pPr>
      <w:r>
        <w:t xml:space="preserve">Tumor-promoting inflammation</w:t>
      </w:r>
    </w:p>
    <w:p>
      <w:pPr>
        <w:pStyle w:val="ListParagraph"/>
        <w:numPr>
          <w:ilvl w:val="0"/>
          <w:numId w:val="1"/>
        </w:numPr>
        <w:spacing w:after="60"/>
      </w:pPr>
      <w:r>
        <w:t xml:space="preserve">Avoiding immune destruction</w:t>
      </w:r>
    </w:p>
    <w:p>
      <w:pPr>
        <w:pStyle w:val="ListParagraph"/>
        <w:numPr>
          <w:ilvl w:val="0"/>
          <w:numId w:val="1"/>
        </w:numPr>
        <w:spacing w:after="60"/>
      </w:pPr>
      <w:r>
        <w:t xml:space="preserve">Activating invasion and metastasis (the culmination of the other hallmarks)</w:t>
      </w:r>
    </w:p>
    <w:p>
      <w:pPr>
        <w:spacing w:after="60"/>
      </w:pPr>
    </w:p>
    <w:p>
      <w:pPr>
        <w:spacing w:after="60" w:before="180"/>
      </w:pPr>
      <w:r>
        <w:rPr>
          <w:b/>
          <w:bCs/>
          <w:color w:val="1C7293"/>
        </w:rPr>
        <w:t xml:space="preserve">5. Discuss uncontrolled cellular proliferation.</w:t>
      </w:r>
    </w:p>
    <w:p>
      <w:pPr>
        <w:spacing w:after="120"/>
        <w:jc w:val="left"/>
      </w:pPr>
      <w:r>
        <w:t xml:space="preserve">Uncontrolled cellular proliferation is the foremost hallmark of cancer. Normal cells enter proliferative phases in response to growth factors, under the direction of proto-oncogenes (genes that direct normal cellular proliferation). When proto-oncogenes are mutated or overexpressed, they become oncogenes, causing uncontrolled cell growth; cancer cells can also achieve autocrine stimulation by secreting growth factors that stimulate their own growth. Oncogene activation can occur via point mutation (e.g., the RAS gene), translocation (excess/inappropriate production of a proliferation factor, as in Burkitt lymphoma, or production of novel growth-promoting proteins, as in chronic myeloid leukemia), or gene amplification.</w:t>
      </w:r>
    </w:p>
    <w:p>
      <w:pPr>
        <w:pStyle w:val="Heading2"/>
        <w:spacing w:after="100" w:before="260"/>
      </w:pPr>
      <w:r>
        <w:t xml:space="preserve">B. Genetics and Cancer</w:t>
      </w:r>
    </w:p>
    <w:p>
      <w:pPr>
        <w:spacing w:after="60" w:before="180"/>
      </w:pPr>
      <w:r>
        <w:rPr>
          <w:b/>
          <w:bCs/>
          <w:color w:val="1C7293"/>
        </w:rPr>
        <w:t xml:space="preserve">1. Differentiate proto-oncogene, oncogene, and tumor suppressor gene.</w:t>
      </w:r>
    </w:p>
    <w:p>
      <w:pPr>
        <w:pStyle w:val="ListParagraph"/>
        <w:numPr>
          <w:ilvl w:val="0"/>
          <w:numId w:val="1"/>
        </w:numPr>
        <w:spacing w:after="60"/>
      </w:pPr>
      <w:r>
        <w:t xml:space="preserve">Proto-oncogene — a normal gene that directs normal cellular proliferation.</w:t>
      </w:r>
    </w:p>
    <w:p>
      <w:pPr>
        <w:pStyle w:val="ListParagraph"/>
        <w:numPr>
          <w:ilvl w:val="0"/>
          <w:numId w:val="1"/>
        </w:numPr>
        <w:spacing w:after="60"/>
      </w:pPr>
      <w:r>
        <w:t xml:space="preserve">Oncogene — a mutated or overexpressed proto-oncogene that causes uncontrolled cell growth.</w:t>
      </w:r>
    </w:p>
    <w:p>
      <w:pPr>
        <w:pStyle w:val="ListParagraph"/>
        <w:numPr>
          <w:ilvl w:val="0"/>
          <w:numId w:val="1"/>
        </w:numPr>
        <w:spacing w:after="60"/>
      </w:pPr>
      <w:r>
        <w:t xml:space="preserve">Tumor-suppressor gene (anti-oncogene) — a gene that regulates the cell cycle, inhibits proliferation, stops cell division when cells are damaged, and prevents mutations (e.g., the retinoblastoma (RB) gene and TP53). Because humans have two copies of each tumor-suppressor gene, both copies must be inactivated (two mutations) before cancer develops; a single germ-cell mutation can transmit cancer-causing genes through a family.</w:t>
      </w:r>
    </w:p>
    <w:p>
      <w:pPr>
        <w:spacing w:after="60"/>
      </w:pPr>
    </w:p>
    <w:p>
      <w:pPr>
        <w:spacing w:after="60" w:before="180"/>
      </w:pPr>
      <w:r>
        <w:rPr>
          <w:b/>
          <w:bCs/>
          <w:color w:val="1C7293"/>
        </w:rPr>
        <w:t xml:space="preserve">2. Explain the concept of cancer-prone families.</w:t>
      </w:r>
    </w:p>
    <w:p>
      <w:pPr>
        <w:spacing w:after="120"/>
        <w:jc w:val="left"/>
      </w:pPr>
      <w:r>
        <w:t xml:space="preserve">When an individual inherits a single germ-cell (sperm or egg) mutation in a tumor-suppressor gene, every cell in their body starts with one inactivated copy of that gene already, so only one additional (somatic) mutation is needed to fully inactivate the gene and permit cancer development. This explains why certain families show a hereditary predisposition to specific cancers, often at younger ages and/or with multiple affected relatives.</w:t>
      </w:r>
    </w:p>
    <w:p>
      <w:pPr>
        <w:spacing w:after="60" w:before="180"/>
      </w:pPr>
      <w:r>
        <w:rPr>
          <w:b/>
          <w:bCs/>
          <w:color w:val="1C7293"/>
        </w:rPr>
        <w:t xml:space="preserve">3. Describe the role of stem cells in cancer.</w:t>
      </w:r>
    </w:p>
    <w:p>
      <w:pPr>
        <w:spacing w:after="120"/>
        <w:jc w:val="left"/>
      </w:pPr>
      <w:r>
        <w:t xml:space="preserve">Nutritional and other cellular processes can modify cancer stem cell self-renewal. Cancer cells can also acquire a dedifferentiated, stem cell-like state (as part of epithelial-mesenchymal transition), which favors growth even in foreign microenvironments and contributes to the tumor's ability to sustain proliferation, resist apoptosis, and metastasize.</w:t>
      </w:r>
    </w:p>
    <w:p>
      <w:pPr>
        <w:spacing w:after="60" w:before="180"/>
      </w:pPr>
      <w:r>
        <w:rPr>
          <w:b/>
          <w:bCs/>
          <w:color w:val="1C7293"/>
        </w:rPr>
        <w:t xml:space="preserve">4. Explain how chronic inflammation contributes to cancer development.</w:t>
      </w:r>
    </w:p>
    <w:p>
      <w:pPr>
        <w:spacing w:after="120"/>
        <w:jc w:val="left"/>
      </w:pPr>
      <w:r>
        <w:t xml:space="preserve">Chronic inflammation is an important factor in cancer development; some organs are more susceptible to the oncogenic effects of inflammation, and successful tumors can alter inflammation to benefit their own growth. For example, Helicobacter pylori-driven chronic inflammation is associated with peptic ulcer disease, stomach carcinoma, and mucosa-associated lymphoid tissue (MALT) lymphomas. Tumor-associated macrophages (TAMs) are key cells that promote tumor survival — their presence often correlates with worse prognosis, as they develop diminished cytotoxic response and can block T-cytotoxic and NK cell function while producing cytokines that favor tumor growth and spread.</w:t>
      </w:r>
    </w:p>
    <w:p>
      <w:pPr>
        <w:spacing w:after="60" w:before="180"/>
      </w:pPr>
      <w:r>
        <w:rPr>
          <w:b/>
          <w:bCs/>
          <w:color w:val="1C7293"/>
        </w:rPr>
        <w:t xml:space="preserve">5. Identify bacterial and viral causes of cancer.</w:t>
      </w:r>
    </w:p>
    <w:p>
      <w:pPr>
        <w:pStyle w:val="ListParagraph"/>
        <w:numPr>
          <w:ilvl w:val="0"/>
          <w:numId w:val="1"/>
        </w:numPr>
        <w:spacing w:after="60"/>
      </w:pPr>
      <w:r>
        <w:t xml:space="preserve">Helicobacter pylori — causes about 75% of all stomach cancers.</w:t>
      </w:r>
    </w:p>
    <w:p>
      <w:pPr>
        <w:pStyle w:val="ListParagraph"/>
        <w:numPr>
          <w:ilvl w:val="0"/>
          <w:numId w:val="1"/>
        </w:numPr>
        <w:spacing w:after="60"/>
      </w:pPr>
      <w:r>
        <w:t xml:space="preserve">Hepatitis B and C viruses — account for the large majority of liver cancers.</w:t>
      </w:r>
    </w:p>
    <w:p>
      <w:pPr>
        <w:pStyle w:val="ListParagraph"/>
        <w:numPr>
          <w:ilvl w:val="0"/>
          <w:numId w:val="1"/>
        </w:numPr>
        <w:spacing w:after="60"/>
      </w:pPr>
      <w:r>
        <w:t xml:space="preserve">Epstein-Barr virus — associated with nasopharyngeal carcinoma, various lymphomas, and gastric adenocarcinoma.</w:t>
      </w:r>
    </w:p>
    <w:p>
      <w:pPr>
        <w:pStyle w:val="ListParagraph"/>
        <w:numPr>
          <w:ilvl w:val="0"/>
          <w:numId w:val="1"/>
        </w:numPr>
        <w:spacing w:after="60"/>
      </w:pPr>
      <w:r>
        <w:t xml:space="preserve">Human papillomavirus (HPV) — high-risk types (especially 16 and 18) cause cancer of the cervix, penis, vulva, vagina, anus, and oropharynx.</w:t>
      </w:r>
    </w:p>
    <w:p>
      <w:pPr>
        <w:spacing w:after="60"/>
      </w:pPr>
    </w:p>
    <w:p>
      <w:pPr>
        <w:pStyle w:val="Heading2"/>
        <w:spacing w:after="100" w:before="260"/>
      </w:pPr>
      <w:r>
        <w:t xml:space="preserve">C. Metastasis</w:t>
      </w:r>
    </w:p>
    <w:p>
      <w:pPr>
        <w:spacing w:after="60" w:before="180"/>
      </w:pPr>
      <w:r>
        <w:rPr>
          <w:b/>
          <w:bCs/>
          <w:color w:val="1C7293"/>
        </w:rPr>
        <w:t xml:space="preserve">1. Identify factors involved in metastasis.</w:t>
      </w:r>
    </w:p>
    <w:p>
      <w:pPr>
        <w:pStyle w:val="ListParagraph"/>
        <w:numPr>
          <w:ilvl w:val="0"/>
          <w:numId w:val="1"/>
        </w:numPr>
        <w:spacing w:after="60"/>
      </w:pPr>
      <w:r>
        <w:t xml:space="preserve">Tumor growth rate</w:t>
      </w:r>
    </w:p>
    <w:p>
      <w:pPr>
        <w:pStyle w:val="ListParagraph"/>
        <w:numPr>
          <w:ilvl w:val="0"/>
          <w:numId w:val="1"/>
        </w:numPr>
        <w:spacing w:after="60"/>
      </w:pPr>
      <w:r>
        <w:t xml:space="preserve">Angiogenesis (growth of new blood vessels supplying the tumor)</w:t>
      </w:r>
    </w:p>
    <w:p>
      <w:pPr>
        <w:pStyle w:val="ListParagraph"/>
        <w:numPr>
          <w:ilvl w:val="0"/>
          <w:numId w:val="1"/>
        </w:numPr>
        <w:spacing w:after="60"/>
      </w:pPr>
      <w:r>
        <w:t xml:space="preserve">Loss of cellular adhesion</w:t>
      </w:r>
    </w:p>
    <w:p>
      <w:pPr>
        <w:pStyle w:val="ListParagraph"/>
        <w:numPr>
          <w:ilvl w:val="0"/>
          <w:numId w:val="1"/>
        </w:numPr>
        <w:spacing w:after="60"/>
      </w:pPr>
      <w:r>
        <w:t xml:space="preserve">Absence of cellular barriers</w:t>
      </w:r>
    </w:p>
    <w:p>
      <w:pPr>
        <w:spacing w:after="60"/>
      </w:pPr>
    </w:p>
    <w:p>
      <w:pPr>
        <w:spacing w:after="60" w:before="180"/>
      </w:pPr>
      <w:r>
        <w:rPr>
          <w:b/>
          <w:bCs/>
          <w:color w:val="1C7293"/>
        </w:rPr>
        <w:t xml:space="preserve">2. Explain mechanisms that favor metastasis.</w:t>
      </w:r>
    </w:p>
    <w:p>
      <w:pPr>
        <w:spacing w:after="120"/>
        <w:jc w:val="left"/>
      </w:pPr>
      <w:r>
        <w:t xml:space="preserve">Invasion (local spread) is a prerequisite for metastasis; recruitment of tumor-associated macrophages is critical to this process. Changes in the tumor microenvironment initiate metastasis and cause cancer cells to evolve through epithelial-mesenchymal transition (EMT) — losing epithelial characteristics, gaining migratory capacity, gaining increased resistance to apoptosis, and adopting a dedifferentiated, stem cell-like state that favors growth in foreign microenvironments. Angiogenesis (via tumor secretion of angiogenic factors like VEGF) supplies the tumor and facilitates spread. Tumors can also actively recruit immune cells that remodel tissue, form new blood vessels, and promote metastasis (evading immune destruction).</w:t>
      </w:r>
    </w:p>
    <w:p>
      <w:pPr>
        <w:spacing w:after="60" w:before="180"/>
      </w:pPr>
      <w:r>
        <w:rPr>
          <w:b/>
          <w:bCs/>
          <w:color w:val="1C7293"/>
        </w:rPr>
        <w:t xml:space="preserve">3. Explain mechanisms that inhibit metastasis.</w:t>
      </w:r>
    </w:p>
    <w:p>
      <w:pPr>
        <w:spacing w:after="120"/>
        <w:jc w:val="left"/>
      </w:pPr>
      <w:r>
        <w:t xml:space="preserve">Normally, the immune system provides surveillance against developing malignancies (the immune surveillance hypothesis) — cytotoxic T cells and NK cells can recognize and destroy tumor cells bearing tumor-associated antigens before they spread. Tumors can also suppress their own angiogenesis inhibitors as a way of promoting growth, implying that maintaining angiogenesis inhibitors and effective immune surveillance are mechanisms the body normally uses to inhibit metastasis. Cellular adhesion and intact cellular/tissue barriers (basement membrane) likewise physically limit the spread of tumor cells until these are lost or breached.</w:t>
      </w:r>
    </w:p>
    <w:p>
      <w:pPr>
        <w:pStyle w:val="Heading2"/>
        <w:spacing w:after="100" w:before="260"/>
      </w:pPr>
      <w:r>
        <w:t xml:space="preserve">D. Cancer Diagnosis and Treatment</w:t>
      </w:r>
    </w:p>
    <w:p>
      <w:pPr>
        <w:spacing w:after="60" w:before="180"/>
      </w:pPr>
      <w:r>
        <w:rPr>
          <w:b/>
          <w:bCs/>
          <w:color w:val="1C7293"/>
        </w:rPr>
        <w:t xml:space="preserve">1. Identify manifestations of cancer that may lead to diagnosis.</w:t>
      </w:r>
    </w:p>
    <w:p>
      <w:pPr>
        <w:pStyle w:val="ListParagraph"/>
        <w:numPr>
          <w:ilvl w:val="0"/>
          <w:numId w:val="1"/>
        </w:numPr>
        <w:spacing w:after="60"/>
      </w:pPr>
      <w:r>
        <w:t xml:space="preserve">Paraneoplastic syndromes — symptom complexes triggered by cancer, caused by biologic substances released from the tumor or by the immune response to the tumor (not by direct local tumor effects); these can be the earliest sign of an as-yet undiagnosed cancer.</w:t>
      </w:r>
    </w:p>
    <w:p>
      <w:pPr>
        <w:pStyle w:val="ListParagraph"/>
        <w:numPr>
          <w:ilvl w:val="0"/>
          <w:numId w:val="1"/>
        </w:numPr>
        <w:spacing w:after="60"/>
      </w:pPr>
      <w:r>
        <w:t xml:space="preserve">Cachexia — a multi-organ, energy-wasting syndrome and the most severe form of malnutrition, with muscle weakness/fatigue, altered protein/lipid/carbohydrate metabolism, loss of white adipose tissue, and altered appetite-regulating pathways.</w:t>
      </w:r>
    </w:p>
    <w:p>
      <w:pPr>
        <w:spacing w:after="60"/>
      </w:pPr>
    </w:p>
    <w:p>
      <w:pPr>
        <w:spacing w:after="60" w:before="180"/>
      </w:pPr>
      <w:r>
        <w:rPr>
          <w:b/>
          <w:bCs/>
          <w:color w:val="1C7293"/>
        </w:rPr>
        <w:t xml:space="preserve">2. Explain the importance and limitations of tumor markers.</w:t>
      </w:r>
    </w:p>
    <w:p>
      <w:pPr>
        <w:spacing w:after="120"/>
        <w:jc w:val="left"/>
      </w:pPr>
      <w:r>
        <w:t xml:space="preserve">Tumor markers are biochemical substances (hormones, enzymes, genes, antigens, antibodies) produced by cancer cells and found on/in tumor cells or in blood, CSF, or urine. They are used to screen/identify high-risk individuals, diagnose specific tumor types, and monitor the clinical course of cancer. Their main limitation is the possibility of false positives and false negatives, so they are generally used alongside other diagnostic tools rather than as stand-alone tests.</w:t>
      </w:r>
    </w:p>
    <w:p>
      <w:pPr>
        <w:spacing w:after="120"/>
        <w:jc w:val="left"/>
      </w:pPr>
      <w:r>
        <w:t xml:space="preserve">Staging: microscopic analysis determines stage based on the presence/extent of metastasis — Stage I (no metastasis), Stage II (local invasion), Stage III (spread to regional structures), Stage IV (distant metastasis). The WHO TNM system further classifies tumors by T (tumor spread), N (node involvement), and M (presence of distant metastasis).</w:t>
      </w:r>
    </w:p>
    <w:p>
      <w:pPr>
        <w:spacing w:after="60" w:before="180"/>
      </w:pPr>
      <w:r>
        <w:rPr>
          <w:b/>
          <w:bCs/>
          <w:color w:val="1C7293"/>
        </w:rPr>
        <w:t xml:space="preserve">3. Describe major cancer treatment strategies.</w:t>
      </w:r>
    </w:p>
    <w:p>
      <w:pPr>
        <w:pStyle w:val="ListParagraph"/>
        <w:numPr>
          <w:ilvl w:val="0"/>
          <w:numId w:val="1"/>
        </w:numPr>
        <w:spacing w:after="60"/>
      </w:pPr>
      <w:r>
        <w:t xml:space="preserve">Surgery — used to prevent cancer (e.g., removing colon polyps), obtain biopsy for diagnosis/staging, sample lymph nodes, or provide palliative relief.</w:t>
      </w:r>
    </w:p>
    <w:p>
      <w:pPr>
        <w:pStyle w:val="ListParagraph"/>
        <w:numPr>
          <w:ilvl w:val="0"/>
          <w:numId w:val="1"/>
        </w:numPr>
        <w:spacing w:after="60"/>
      </w:pPr>
      <w:r>
        <w:t xml:space="preserve">Radiation therapy — aims to eradicate cancer without excessive toxicity and avoid damage to normal structures; ionizing radiation damages the cancer cell's DNA.</w:t>
      </w:r>
    </w:p>
    <w:p>
      <w:pPr>
        <w:pStyle w:val="ListParagraph"/>
        <w:numPr>
          <w:ilvl w:val="0"/>
          <w:numId w:val="1"/>
        </w:numPr>
        <w:spacing w:after="60"/>
      </w:pPr>
      <w:r>
        <w:t xml:space="preserve">Chemotherapy — takes advantage of specific vulnerabilities in cancer cells; usually given in combinations to attack the cancer from multiple weaknesses simultaneously; a major complication is death of rapidly dividing normal (non-cancerous) cells.</w:t>
      </w:r>
    </w:p>
    <w:p>
      <w:pPr>
        <w:pStyle w:val="ListParagraph"/>
        <w:numPr>
          <w:ilvl w:val="0"/>
          <w:numId w:val="1"/>
        </w:numPr>
        <w:spacing w:after="60"/>
      </w:pPr>
      <w:r>
        <w:t xml:space="preserve">Immunotherapy — uses the products of the immune system to target tumor-associated antigens and destroy tumors; many therapeutic cancer vaccines have been tested with limited success, though immunotherapy for metastatic prostate cancer has gained FDA approval.</w:t>
      </w:r>
    </w:p>
    <w:p>
      <w:pPr>
        <w:pStyle w:val="ListParagraph"/>
        <w:numPr>
          <w:ilvl w:val="0"/>
          <w:numId w:val="1"/>
        </w:numPr>
        <w:spacing w:after="60"/>
      </w:pPr>
      <w:r>
        <w:t xml:space="preserve">Targeted therapy * — drugs designed to target specific molecular changes (e.g., mutated oncogenes or their protein products) more selectively in cancer cells, developed through genetic/molecular analysis of an individual's tumor as part of personalized medicine.</w:t>
      </w:r>
    </w:p>
    <w:p>
      <w:pPr>
        <w:pStyle w:val="ListParagraph"/>
        <w:numPr>
          <w:ilvl w:val="0"/>
          <w:numId w:val="1"/>
        </w:numPr>
        <w:spacing w:after="60"/>
      </w:pPr>
      <w:r>
        <w:t xml:space="preserve">Hormonal therapy * — used for hormone-sensitive cancers (e.g., certain breast and prostate cancers) to block the hormones that drive tumor growth.</w:t>
      </w:r>
    </w:p>
    <w:p>
      <w:pPr>
        <w:spacing w:after="60"/>
      </w:pPr>
    </w:p>
    <w:p>
      <w:pPr>
        <w:spacing w:after="120"/>
        <w:jc w:val="left"/>
      </w:pPr>
      <w:r>
        <w:t xml:space="preserve">Cancer treatment is undergoing rapid evolution driven by genetic analysis of each individual's cancer; molecular/immunohistochemical classification (e.g., the four molecular subtypes of breast cancer) allows treatment to be tailored to therapeutically and prognostically relevant subgroups — improving outcomes through personalized medicine.</w:t>
      </w:r>
    </w:p>
    <w:p>
      <w:pPr>
        <w:spacing w:after="60" w:before="180"/>
      </w:pPr>
      <w:r>
        <w:rPr>
          <w:b/>
          <w:bCs/>
          <w:color w:val="1C7293"/>
        </w:rPr>
        <w:t xml:space="preserve">4. Identify common side effects of cancer treatment. *</w:t>
      </w:r>
    </w:p>
    <w:p>
      <w:pPr>
        <w:spacing w:after="120"/>
        <w:jc w:val="left"/>
      </w:pPr>
      <w:r>
        <w:t xml:space="preserve">Because chemotherapy and radiation cannot perfectly distinguish cancer cells from normal, rapidly dividing cells (e.g., bone marrow, GI mucosa, hair follicles), common side effects include myelosuppression (anemia, infection risk, bruising/bleeding), nausea/vomiting, mucositis, alopecia, fatigue, and — for radiation — localized skin and tissue damage at the treatment site. Immunotherapy can cause immune-related inflammatory side effects, and surgery carries the standard risks of any operative procedure (bleeding, infection, effects of anesthesia).</w:t>
      </w:r>
    </w:p>
    <w:p>
      <w:pPr>
        <w:pStyle w:val="Heading2"/>
        <w:spacing w:after="100" w:before="260"/>
      </w:pPr>
      <w:r>
        <w:t xml:space="preserve">E. Cancer Risk Factors</w:t>
      </w:r>
    </w:p>
    <w:p>
      <w:pPr>
        <w:spacing w:after="60" w:before="180"/>
      </w:pPr>
      <w:r>
        <w:rPr>
          <w:b/>
          <w:bCs/>
          <w:color w:val="1C7293"/>
        </w:rPr>
        <w:t xml:space="preserve">1. Explain why lifestyle and environmental factors may be more important than genetics in many cancers.</w:t>
      </w:r>
    </w:p>
    <w:p>
      <w:pPr>
        <w:spacing w:after="120"/>
        <w:jc w:val="left"/>
      </w:pPr>
      <w:r>
        <w:t xml:space="preserve">Environmental-lifestyle factors and genetic factors both cause cancer, but patterns of cancer incidence are strongly influenced by environmental and lifestyle exposures (not purely inherited genetics); genetic and epigenetic alterations that drive cancer at the cellular level are themselves frequently triggered or shaped by external environmental influences (e.g., stromal tissue immune cells promoting chronic inflammation can precede and initiate cancer-causing changes).</w:t>
      </w:r>
    </w:p>
    <w:p>
      <w:pPr>
        <w:spacing w:after="60" w:before="180"/>
      </w:pPr>
      <w:r>
        <w:rPr>
          <w:b/>
          <w:bCs/>
          <w:color w:val="1C7293"/>
        </w:rPr>
        <w:t xml:space="preserve">2. Describe how in utero and early-life exposures may affect future cancer risk.</w:t>
      </w:r>
    </w:p>
    <w:p>
      <w:pPr>
        <w:spacing w:after="120"/>
        <w:jc w:val="left"/>
      </w:pPr>
      <w:r>
        <w:t xml:space="preserve">Developmental plasticity describes the degree to which an organism's development is shaped by its environment. Early, persistent epigenetic adaptations occurring in utero or in early life are associated with increased later susceptibility to cancer.</w:t>
      </w:r>
    </w:p>
    <w:p>
      <w:pPr>
        <w:spacing w:after="60" w:before="180"/>
      </w:pPr>
      <w:r>
        <w:rPr>
          <w:b/>
          <w:bCs/>
          <w:color w:val="1C7293"/>
        </w:rPr>
        <w:t xml:space="preserve">3. Explain how smoking alters cellular structure and function.</w:t>
      </w:r>
    </w:p>
    <w:p>
      <w:pPr>
        <w:spacing w:after="120"/>
        <w:jc w:val="left"/>
      </w:pPr>
      <w:r>
        <w:t xml:space="preserve">Tobacco use is the most important cause of preventable cancer, affecting nearly every body organ; it is linked to cancers of the lung, lower urinary tract, upper aerodigestive tract, stomach, kidney, pancreas, cervix, uterus, and myeloid leukemia. Harm also comes from environmental tobacco smoke (secondhand smoke), cigar/pipe smoking, and e-cigarettes; secondhand/passive smoke causes formation of reactive oxygen free radicals and resultant DNA damage.</w:t>
      </w:r>
    </w:p>
    <w:p>
      <w:pPr>
        <w:spacing w:after="60" w:before="180"/>
      </w:pPr>
      <w:r>
        <w:rPr>
          <w:b/>
          <w:bCs/>
          <w:color w:val="1C7293"/>
        </w:rPr>
        <w:t xml:space="preserve">4. Explain how radiation alters cellular structure and function.</w:t>
      </w:r>
    </w:p>
    <w:p>
      <w:pPr>
        <w:spacing w:after="120"/>
        <w:jc w:val="left"/>
      </w:pPr>
      <w:r>
        <w:t xml:space="preserve">Ionizing radiation increases risk for acute leukemias, multiple myeloma, and thyroid, breast, lung, stomach, colon, esophagus, and urinary tract cancers; age at exposure is a main risk factor, with a bimodal distribution (highest risk at early and older ages), and mutations in germ cells are heritable. Ionizing radiation can also produce nontargeted effects — genomic instability and bystander effects — in cells that were not directly irradiated but are in communication with irradiated cells; radiation-induced cancers typically have a latent period of 5-10 years.</w:t>
      </w:r>
    </w:p>
    <w:p>
      <w:pPr>
        <w:spacing w:after="60" w:before="180"/>
      </w:pPr>
      <w:r>
        <w:rPr>
          <w:b/>
          <w:bCs/>
          <w:color w:val="1C7293"/>
        </w:rPr>
        <w:t xml:space="preserve">5. Discuss the relationship between diet and cancer.</w:t>
      </w:r>
    </w:p>
    <w:p>
      <w:pPr>
        <w:spacing w:after="120"/>
        <w:jc w:val="left"/>
      </w:pPr>
      <w:r>
        <w:t xml:space="preserve">The influence of diet on cancer is complex, and research is ongoing. Nutrigenomics studies how nutrition affects phenotypic variability based on genomic differences; culture and geography also play a role. Nutrition affects cellular processes including cancer stem cell self-renewal and DNA repair. Xenobiotics — toxic, mutagenic, and carcinogenic chemicals in food/drugs — are countered by two defense systems: detoxification enzymes and antioxidant systems ("enzyme housekeepers" that metabolize environmental carcinogens); dietary components can either be activated into carcinogens or can help prevent cancer.</w:t>
      </w:r>
    </w:p>
    <w:p>
      <w:pPr>
        <w:spacing w:after="60" w:before="180"/>
      </w:pPr>
      <w:r>
        <w:rPr>
          <w:b/>
          <w:bCs/>
          <w:color w:val="1C7293"/>
        </w:rPr>
        <w:t xml:space="preserve">6. Explain how obesity affects cancer risk and mortality.</w:t>
      </w:r>
    </w:p>
    <w:p>
      <w:pPr>
        <w:spacing w:after="120"/>
        <w:jc w:val="left"/>
      </w:pPr>
      <w:r>
        <w:t xml:space="preserve">Obesity impacts energy balance and affects cancer risk, recurrence, and survival, through three main factors: the insulin-IGF-1 axis, sex hormones, and adipokines (adipocyte-derived cytokines). The precise mechanism linking obesity to cancer risk is not fully understood.</w:t>
      </w:r>
    </w:p>
    <w:p>
      <w:pPr>
        <w:spacing w:after="60" w:before="180"/>
      </w:pPr>
      <w:r>
        <w:rPr>
          <w:b/>
          <w:bCs/>
          <w:color w:val="1C7293"/>
        </w:rPr>
        <w:t xml:space="preserve">7. Describe the effect of alcohol consumption on cancer risk.</w:t>
      </w:r>
    </w:p>
    <w:p>
      <w:pPr>
        <w:spacing w:after="120"/>
        <w:jc w:val="left"/>
      </w:pPr>
      <w:r>
        <w:t xml:space="preserve">Alcohol is a risk factor for cancers of the mouth, pharynx, larynx, esophagus, liver, colorectum, and breast. There is no "safe limit" of intake, and the cancer-causing effect comes from the ethanol content itself (not the type of alcoholic beverage). Genetic factors also influence individual risk.</w:t>
      </w:r>
    </w:p>
    <w:p>
      <w:pPr>
        <w:spacing w:after="60" w:before="180"/>
      </w:pPr>
      <w:r>
        <w:rPr>
          <w:b/>
          <w:bCs/>
          <w:color w:val="1C7293"/>
        </w:rPr>
        <w:t xml:space="preserve">8. Define the bystander effect.</w:t>
      </w:r>
    </w:p>
    <w:p>
      <w:pPr>
        <w:spacing w:after="120"/>
        <w:jc w:val="left"/>
      </w:pPr>
      <w:r>
        <w:t xml:space="preserve">The bystander effect refers to biologic effects occurring in cells that received no direct radiation exposure themselves, but that are near or in communication with cells that were irradiated — a "nontargeted" effect of ionizing radiation.</w:t>
      </w:r>
    </w:p>
    <w:p>
      <w:pPr>
        <w:spacing w:after="60" w:before="180"/>
      </w:pPr>
      <w:r>
        <w:rPr>
          <w:b/>
          <w:bCs/>
          <w:color w:val="1C7293"/>
        </w:rPr>
        <w:t xml:space="preserve">9. Explain the effects of ultraviolet radiation on the skin.</w:t>
      </w:r>
    </w:p>
    <w:p>
      <w:pPr>
        <w:spacing w:after="120"/>
        <w:jc w:val="left"/>
      </w:pPr>
      <w:r>
        <w:t xml:space="preserve">Sunlight is the principal source of ultraviolet radiation (UVA, UVB, UVC). While UV exposure is essential for vitamin D synthesis and calcium/phosphorus absorption, it also increases risk of skin cancer: melanoma (arising from melanocytes, the most lethal form), basal cell carcinoma (arising in the lower epidermis/outer skin layer), and squamous cell carcinoma (arising on the skin surface, typically in sun-exposed areas).</w:t>
      </w:r>
    </w:p>
    <w:p>
      <w:pPr>
        <w:spacing w:after="60" w:before="180"/>
      </w:pPr>
      <w:r>
        <w:rPr>
          <w:b/>
          <w:bCs/>
          <w:color w:val="1C7293"/>
        </w:rPr>
        <w:t xml:space="preserve">10. Identify potential sources of electromagnetic radiation and why they are controversial.</w:t>
      </w:r>
    </w:p>
    <w:p>
      <w:pPr>
        <w:spacing w:after="120"/>
        <w:jc w:val="left"/>
      </w:pPr>
      <w:r>
        <w:t xml:space="preserve">Electromagnetic radiation (EMR) is energy in the form of magnetic and electric waves, from sources such as broadcast antennas, security monitors, cell phones, smart meters, and portable wireless devices. It is controversial because it may or may not be carcinogenic — evidence for a causal link to cancer remains unclear/debated.</w:t>
      </w:r>
    </w:p>
    <w:p>
      <w:pPr>
        <w:spacing w:after="60" w:before="180"/>
      </w:pPr>
      <w:r>
        <w:rPr>
          <w:b/>
          <w:bCs/>
          <w:color w:val="1C7293"/>
        </w:rPr>
        <w:t xml:space="preserve">11. Identify risk factors for HPV and cervical cancer.</w:t>
      </w:r>
    </w:p>
    <w:p>
      <w:pPr>
        <w:spacing w:after="120"/>
        <w:jc w:val="left"/>
      </w:pPr>
      <w:r>
        <w:t xml:space="preserve">HPV is the most common sexually transmitted disease in the United States, with more than 200 related virus types; low-risk types are not associated with cancer, while high-risk types (especially HPV 16 and 18) are responsible for the majority of HPV-related cancers, including cancer of the cervix, penis, vulva, vagina, anus, and oropharynx (tongue, tonsils, pharynx). Risk factors relate to sexual activity/exposure to the virus. The HPV vaccine reduces the risk of cervical cancer, and the Pap test is used for cervical cancer screening.</w:t>
      </w:r>
    </w:p>
    <w:p>
      <w:pPr>
        <w:pStyle w:val="Heading2"/>
        <w:spacing w:after="100" w:before="260"/>
      </w:pPr>
      <w:r>
        <w:t xml:space="preserve">F. Childhood Cancer</w:t>
      </w:r>
    </w:p>
    <w:p>
      <w:pPr>
        <w:spacing w:after="60" w:before="180"/>
      </w:pPr>
      <w:r>
        <w:rPr>
          <w:b/>
          <w:bCs/>
          <w:color w:val="1C7293"/>
        </w:rPr>
        <w:t xml:space="preserve">1. Identify common types of childhood cancer.</w:t>
      </w:r>
    </w:p>
    <w:p>
      <w:pPr>
        <w:spacing w:after="120"/>
        <w:jc w:val="left"/>
      </w:pPr>
      <w:r>
        <w:t xml:space="preserve">The most common childhood cancers are leukemias, sarcomas, lymphomas, and embryonal tumors. Embryonal tumors originate during intrauterine life from immature embryonic tissue that is unable to mature/differentiate into fully developed cells; they are diagnosed early in life and their names typically include the root term "blast" (e.g., neuroblastoma, retinoblastoma). Most childhood cancers originate from the mesodermal germ layer, which gives rise to connective tissue, bone, cartilage, muscle, blood, blood vessels, gonads, kidneys, and the lymphatic system.</w:t>
      </w:r>
    </w:p>
    <w:p>
      <w:pPr>
        <w:spacing w:after="60" w:before="180"/>
      </w:pPr>
      <w:r>
        <w:rPr>
          <w:b/>
          <w:bCs/>
          <w:color w:val="1C7293"/>
        </w:rPr>
        <w:t xml:space="preserve">2. Compare cancer in children with cancer in adults.</w:t>
      </w:r>
    </w:p>
    <w:p>
      <w:pPr>
        <w:spacing w:after="120"/>
        <w:jc w:val="left"/>
      </w:pPr>
      <w:r>
        <w:t xml:space="preserve">Childhood cancer is rare but is the leading cause of death from disease in children; incidence shows a bimodal distribution and is slightly more common in males. Childhood cancers are often diagnosed during peak growth periods, tend to be fast-growing, and typically present without early warning signs (short latency period). This contrasts with many adult cancers, which are more often epithelial in origin (carcinomas), associated with cumulative environmental/lifestyle exposures over decades, and often have a longer latency with more identifiable predisposing environmental factors. Survival rates in childhood cancer have dramatically improved since the 1960s and are generally higher than in many adult cancers, especially in children under age 15.</w:t>
      </w:r>
    </w:p>
    <w:p>
      <w:pPr>
        <w:spacing w:after="60" w:before="180"/>
      </w:pPr>
      <w:r>
        <w:rPr>
          <w:b/>
          <w:bCs/>
          <w:color w:val="1C7293"/>
        </w:rPr>
        <w:t xml:space="preserve">3. Discuss the role of host, genetic, and environmental factors in childhood cancer.</w:t>
      </w:r>
    </w:p>
    <w:p>
      <w:pPr>
        <w:pStyle w:val="ListParagraph"/>
        <w:numPr>
          <w:ilvl w:val="0"/>
          <w:numId w:val="1"/>
        </w:numPr>
        <w:spacing w:after="60"/>
      </w:pPr>
      <w:r>
        <w:t xml:space="preserve">Host/genetic factors — mutations in oncogenes and tumor-suppressor genes; chromosome abnormalities (in number or structure); certain congenital syndromes occur together with specific cancers (e.g., Down syndrome with leukemia; Wilms tumor associated with several congenital abnormalities).</w:t>
      </w:r>
    </w:p>
    <w:p>
      <w:pPr>
        <w:pStyle w:val="ListParagraph"/>
        <w:numPr>
          <w:ilvl w:val="0"/>
          <w:numId w:val="1"/>
        </w:numPr>
        <w:spacing w:after="60"/>
      </w:pPr>
      <w:r>
        <w:t xml:space="preserve">Environmental factors — prenatal exposures (drugs such as diethylstilbestrol (DES), ionizing radiation — increased risk of childhood leukemia) and childhood exposures (ionizing radiation, drugs, electromagnetic fields, and viruses associated with higher cancer risk). Infections may sometimes "prime" the immune system with a protective effect, but others (e.g., Epstein-Barr virus, HIV/AIDS) have strong associations with increased cancer development.</w:t>
      </w:r>
    </w:p>
    <w:p>
      <w:pPr>
        <w:pStyle w:val="ListParagraph"/>
        <w:numPr>
          <w:ilvl w:val="0"/>
          <w:numId w:val="1"/>
        </w:numPr>
        <w:spacing w:after="60"/>
      </w:pPr>
      <w:r>
        <w:t xml:space="preserve">Multiple causation model — most childhood cancers do not have an identifiable predisposing environmental factor; studies may show a chemical is associated with a cancer, but not all children exposed to that chemical develop cancer, reflecting a multifactorial (multiple causation) process rather than a single determinative cause.</w:t>
      </w:r>
    </w:p>
    <w:p>
      <w:pPr>
        <w:spacing w:after="60"/>
      </w:pPr>
    </w:p>
    <w:p>
      <w:pPr>
        <w:spacing w:after="60" w:before="180"/>
      </w:pPr>
      <w:r>
        <w:rPr>
          <w:b/>
          <w:bCs/>
          <w:color w:val="1C7293"/>
        </w:rPr>
        <w:t xml:space="preserve">4. Identify major prognostic factors in childhood cancer.</w:t>
      </w:r>
    </w:p>
    <w:p>
      <w:pPr>
        <w:spacing w:after="120"/>
        <w:jc w:val="left"/>
      </w:pPr>
      <w:r>
        <w:t xml:space="preserve">More than 80% of children with cancer are now cured, reflecting advances in combination chemotherapy, multimodal treatment, biotherapy, and nursing/supportive care. Survival rates are higher in children under 15 years, and younger children are more likely to be enrolled in clinical trials (which itself is associated with improved outcomes). However, survivors face an increased risk of cancer later in life and other residual/late effects of treatment, including physical impairments, reproductive dysfunction, soft tissue and bone atrophy, learning disabilities, secondary cancers, and psychologic sequelae — all of which factor into long-term prognosis and survivorship care.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2026-07-03T04:34:16.325Z</dcterms:created>
  <dcterms:modified xsi:type="dcterms:W3CDTF">2026-07-03T04:34:16.350Z</dcterms:modified>
</cp:coreProperties>
</file>

<file path=docProps/custom.xml><?xml version="1.0" encoding="utf-8"?>
<Properties xmlns="http://schemas.openxmlformats.org/officeDocument/2006/custom-properties" xmlns:vt="http://schemas.openxmlformats.org/officeDocument/2006/docPropsVTypes"/>
</file>