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widowControl/>
      </w:pPr>
      <w:r>
        <w:t xml:space="preserve">Dear Editors of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,</w:t>
      </w:r>
    </w:p>
    <w:p>
      <w:pPr>
        <w:pStyle w:val="BodyText"/>
        <w:widowControl/>
      </w:pPr>
      <w:r>
        <w:t xml:space="preserve">Please consider my manuscript, “Spacetime quantities from causal order: an</w:t>
      </w:r>
      <w:r>
        <w:t xml:space="preserve"> </w:t>
      </w:r>
      <w:r>
        <w:t xml:space="preserve">operational ladder with preregistered validations at finite density,” for</w:t>
      </w:r>
      <w:r>
        <w:t xml:space="preserve"> </w:t>
      </w:r>
      <w:r>
        <w:t xml:space="preserve">publication in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 </w:t>
      </w:r>
      <w:r>
        <w:t xml:space="preserve">as a Research Paper.</w:t>
      </w:r>
    </w:p>
    <w:p>
      <w:pPr>
        <w:pStyle w:val="BodyText"/>
        <w:widowControl/>
      </w:pPr>
      <w:r>
        <w:t xml:space="preserve">Causal structure determines conformal geometry, while volume information</w:t>
      </w:r>
      <w:r>
        <w:t xml:space="preserve"> </w:t>
      </w:r>
      <w:r>
        <w:t xml:space="preserve">fixes the remaining scale under standard hypotheses. The manuscript asks the</w:t>
      </w:r>
      <w:r>
        <w:t xml:space="preserve"> </w:t>
      </w:r>
      <w:r>
        <w:t xml:space="preserve">corresponding finite-data question: given events and their causal order, which</w:t>
      </w:r>
      <w:r>
        <w:t xml:space="preserve"> </w:t>
      </w:r>
      <w:r>
        <w:t xml:space="preserve">spacetime quantities can an explicit procedure reconstruct, what additional</w:t>
      </w:r>
      <w:r>
        <w:t xml:space="preserve"> </w:t>
      </w:r>
      <w:r>
        <w:t xml:space="preserve">information does each reconstruction require, and which ambiguities remain</w:t>
      </w:r>
      <w:r>
        <w:t xml:space="preserve"> </w:t>
      </w:r>
      <w:r>
        <w:t xml:space="preserve">when that information is absent?</w:t>
      </w:r>
    </w:p>
    <w:p>
      <w:pPr>
        <w:pStyle w:val="BodyText"/>
        <w:widowControl/>
      </w:pPr>
      <w:r>
        <w:t xml:space="preserve">The central contribution is a branched dependency ledger connecting causal</w:t>
      </w:r>
      <w:r>
        <w:t xml:space="preserve"> </w:t>
      </w:r>
      <w:r>
        <w:t xml:space="preserve">order to dimension estimates, proper-time calibration, radar coordinates,</w:t>
      </w:r>
      <w:r>
        <w:t xml:space="preserve"> </w:t>
      </w:r>
      <w:r>
        <w:t xml:space="preserve">oriented Lorentz maps, observer atlases, and measure-dependent volume</w:t>
      </w:r>
      <w:r>
        <w:t xml:space="preserve"> </w:t>
      </w:r>
      <w:r>
        <w:t xml:space="preserve">reconstruction. Each step names its supplied ingredient and reports its</w:t>
      </w:r>
      <w:r>
        <w:t xml:space="preserve"> </w:t>
      </w:r>
      <w:r>
        <w:t xml:space="preserve">finite-density behaviour. Three counterexamples set the boundary of the</w:t>
      </w:r>
      <w:r>
        <w:t xml:space="preserve"> </w:t>
      </w:r>
      <w:r>
        <w:t xml:space="preserve">ledger: order alone supplies no metric scale, a single observer leaves a</w:t>
      </w:r>
      <w:r>
        <w:t xml:space="preserve"> </w:t>
      </w:r>
      <w:r>
        <w:t xml:space="preserve">reflection ambiguity, and finite signal speed alone does not imply Lorentzian</w:t>
      </w:r>
      <w:r>
        <w:t xml:space="preserve"> </w:t>
      </w:r>
      <w:r>
        <w:t xml:space="preserve">geometry. A Rindler analogue gives the expected accessibility boundary.</w:t>
      </w:r>
    </w:p>
    <w:p>
      <w:pPr>
        <w:pStyle w:val="BodyText"/>
        <w:widowControl/>
      </w:pPr>
      <w:r>
        <w:t xml:space="preserve">The manuscript also tests the framework in curved spacetime using</w:t>
      </w:r>
      <w:r>
        <w:t xml:space="preserve"> </w:t>
      </w:r>
      <w:r>
        <w:t xml:space="preserve">preregistered numerical stages. In a vacuum plane wave whose coordinate volume form and Poisson</w:t>
      </w:r>
      <w:r>
        <w:t xml:space="preserve"> </w:t>
      </w:r>
      <w:r>
        <w:t xml:space="preserve">sprinkling law are exactly those of the flat comparator, an order-only</w:t>
      </w:r>
      <w:r>
        <w:t xml:space="preserve"> </w:t>
      </w:r>
      <w:r>
        <w:t xml:space="preserve">statistic detects a deliberately strong pure-Weyl deformation at finite</w:t>
      </w:r>
      <w:r>
        <w:t xml:space="preserve"> </w:t>
      </w:r>
      <w:r>
        <w:t xml:space="preserve">density. Separate stages on a frozen Schwarzschild exterior patch confirm the</w:t>
      </w:r>
      <w:r>
        <w:t xml:space="preserve"> </w:t>
      </w:r>
      <w:r>
        <w:t xml:space="preserve">paired causal-relation shift and detect single-poset discrimination with</w:t>
      </w:r>
      <w:r>
        <w:t xml:space="preserve"> </w:t>
      </w:r>
      <w:r>
        <w:t xml:space="preserve">incomplete separation. Finally, a four-rung mass ladder compares sprinkled</w:t>
      </w:r>
      <w:r>
        <w:t xml:space="preserve"> </w:t>
      </w:r>
      <w:r>
        <w:t xml:space="preserve">counts with independently certified continuum four-volumes under a frozen</w:t>
      </w:r>
      <w:r>
        <w:t xml:space="preserve"> </w:t>
      </w:r>
      <w:r>
        <w:t xml:space="preserve">2.5% equivalence rule. These results are presented as controlled validations</w:t>
      </w:r>
      <w:r>
        <w:t xml:space="preserve"> </w:t>
      </w:r>
      <w:r>
        <w:t xml:space="preserve">of reconstruction procedures at specified operating points, not as evidence</w:t>
      </w:r>
      <w:r>
        <w:t xml:space="preserve"> </w:t>
      </w:r>
      <w:r>
        <w:t xml:space="preserve">that spacetime is discrete or reducible to causal order.</w:t>
      </w:r>
    </w:p>
    <w:p>
      <w:pPr>
        <w:pStyle w:val="BodyText"/>
        <w:widowControl/>
      </w:pPr>
      <w:r>
        <w:t xml:space="preserve">I believe the manuscript fits CQG because it connects Lorentzian causal</w:t>
      </w:r>
      <w:r>
        <w:t xml:space="preserve"> </w:t>
      </w:r>
      <w:r>
        <w:t xml:space="preserve">structure, discrete-spacetime methods, black-hole exterior numerics, and</w:t>
      </w:r>
      <w:r>
        <w:t xml:space="preserve"> </w:t>
      </w:r>
      <w:r>
        <w:t xml:space="preserve">operational measurement while placing the results in their wider</w:t>
      </w:r>
      <w:r>
        <w:t xml:space="preserve"> </w:t>
      </w:r>
      <w:r>
        <w:t xml:space="preserve">gravitational-physics context. The evidence trail is auditable: decision rules</w:t>
      </w:r>
      <w:r>
        <w:t xml:space="preserve"> </w:t>
      </w:r>
      <w:r>
        <w:t xml:space="preserve">for the curved-space stages were archived before execution, reported figures</w:t>
      </w:r>
      <w:r>
        <w:t xml:space="preserve"> </w:t>
      </w:r>
      <w:r>
        <w:t xml:space="preserve">are regenerated from version-controlled artifacts, and the manuscript states</w:t>
      </w:r>
      <w:r>
        <w:t xml:space="preserve"> </w:t>
      </w:r>
      <w:r>
        <w:t xml:space="preserve">the limitations of every primary verdict.</w:t>
      </w:r>
    </w:p>
    <w:p>
      <w:pPr>
        <w:pStyle w:val="BodyText"/>
        <w:widowControl/>
      </w:pPr>
      <w:r>
        <w:t xml:space="preserve">The manuscript is original, has not been published previously, and is not</w:t>
      </w:r>
      <w:r>
        <w:t xml:space="preserve"> </w:t>
      </w:r>
      <w:r>
        <w:t xml:space="preserve">under consideration elsewhere. There are no conflicts of interest. The code</w:t>
      </w:r>
      <w:r>
        <w:t xml:space="preserve"> </w:t>
      </w:r>
      <w:r>
        <w:t xml:space="preserve">and supporting data are identified in the Data Availability Statement.</w:t>
      </w:r>
    </w:p>
    <w:p>
      <w:pPr>
        <w:pStyle w:val="BodyText"/>
        <w:widowControl/>
      </w:pPr>
      <w:r>
        <w:t xml:space="preserve">Thank you for your consideration.</w:t>
      </w:r>
    </w:p>
    <w:p>
      <w:pPr>
        <w:pStyle w:val="BodyText"/>
        <w:widowControl/>
      </w:pPr>
      <w:r>
        <w:t xml:space="preserve">Sincerely,</w:t>
      </w:r>
    </w:p>
    <w:p>
      <w:pPr>
        <w:pStyle w:val="BodyText"/>
        <w:widowControl/>
      </w:pPr>
      <w:r>
        <w:t xml:space="preserve">Juneyoung Kim</w:t>
      </w:r>
      <w:r>
        <w:br/>
      </w:r>
      <w:r>
        <w:t xml:space="preserve">Independent researcher</w:t>
      </w:r>
      <w:r>
        <w:br/>
      </w:r>
      <w:r>
        <w:t xml:space="preserve">lpaiu.cs@gmail.com</w:t>
      </w:r>
    </w:p>
    <w:sectPr>
      <w:footnotePr>
        <w:numRestart w:val="eachSect"/>
      </w:footnotePr>
      <w:pgMar w:top="1224" w:bottom="1224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 w:line="252" w:lineRule="auto"/>
    </w:pPr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2026-08-24T20:29:34Z</dcterms:created>
  <dcterms:modified xsi:type="dcterms:W3CDTF">2026-08-24T20:29:34Z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