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widowControl/>
      </w:pPr>
      <w:r>
        <w:t xml:space="preserve">Dear Editors of</w:t>
      </w:r>
      <w:r>
        <w:t xml:space="preserve"> </w:t>
      </w:r>
      <w:r>
        <w:rPr>
          <w:i/>
          <w:iCs/>
        </w:rPr>
        <w:t xml:space="preserve">Classical and Quantum Gravity</w:t>
      </w:r>
      <w:r>
        <w:t xml:space="preserve">,</w:t>
      </w:r>
    </w:p>
    <w:p>
      <w:pPr>
        <w:pStyle w:val="BodyText"/>
        <w:widowControl/>
      </w:pPr>
      <w:r>
        <w:t xml:space="preserve">Please consider my manuscript, “Spacetime quantities from causal order: an</w:t>
      </w:r>
      <w:r>
        <w:t xml:space="preserve"> </w:t>
      </w:r>
      <w:r>
        <w:t xml:space="preserve">operational ladder with preregistered validations at finite density,” for</w:t>
      </w:r>
      <w:r>
        <w:t xml:space="preserve"> </w:t>
      </w:r>
      <w:r>
        <w:t xml:space="preserve">publication in</w:t>
      </w:r>
      <w:r>
        <w:t xml:space="preserve"> </w:t>
      </w:r>
      <w:r>
        <w:rPr>
          <w:i/>
          <w:iCs/>
        </w:rPr>
        <w:t xml:space="preserve">Classical and Quantum Gravity</w:t>
      </w:r>
      <w:r>
        <w:t xml:space="preserve"> </w:t>
      </w:r>
      <w:r>
        <w:t xml:space="preserve">as a Research Paper.</w:t>
      </w:r>
    </w:p>
    <w:p>
      <w:pPr>
        <w:pStyle w:val="BodyText"/>
        <w:widowControl/>
      </w:pPr>
      <w:r>
        <w:t xml:space="preserve">Causal structure determines conformal geometry, while volume information</w:t>
      </w:r>
      <w:r>
        <w:t xml:space="preserve"> </w:t>
      </w:r>
      <w:r>
        <w:t xml:space="preserve">fixes the remaining scale under standard hypotheses. The manuscript asks the</w:t>
      </w:r>
      <w:r>
        <w:t xml:space="preserve"> </w:t>
      </w:r>
      <w:r>
        <w:t xml:space="preserve">corresponding finite-data question: which spacetime quantities can explicit</w:t>
      </w:r>
      <w:r>
        <w:t xml:space="preserve"> </w:t>
      </w:r>
      <w:r>
        <w:t xml:space="preserve">procedures reconstruct from events and causal order, what additional structure</w:t>
      </w:r>
      <w:r>
        <w:t xml:space="preserve"> </w:t>
      </w:r>
      <w:r>
        <w:t xml:space="preserve">does each require, and what remains ambiguous when that structure is absent?</w:t>
      </w:r>
    </w:p>
    <w:p>
      <w:pPr>
        <w:pStyle w:val="CaptionedFigure"/>
        <w:keepNext/>
        <w:widowControl/>
        <w:spacing w:before="20" w:after="0"/>
        <w:jc w:val="center"/>
      </w:pPr>
      <w:r>
        <w:drawing>
          <wp:inline>
            <wp:extent cx="5334000" cy="1778000"/>
            <wp:effectExtent b="0" l="0" r="0" t="0"/>
            <wp:docPr descr="From causal order to operational geometry: declared structure enables specific reconstructions (top), tested in a plane wave, a Schwarzschild exterior, and a four-rung count/volume ladder (bottom)." title="" id="10" name="Picture"/>
            <a:graphic>
              <a:graphicData uri="http://schemas.openxmlformats.org/drawingml/2006/picture">
                <pic:pic>
                  <pic:nvPicPr>
                    <pic:cNvPr descr="figures/cover_letter_reconstructi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  <w:widowControl/>
        <w:spacing w:before="20" w:after="80" w:line="240" w:lineRule="auto"/>
        <w:jc w:val="center"/>
      </w:pPr>
      <w:r>
        <w:rPr>
          <w:rFonts w:ascii="Times New Roman" w:hAnsi="Times New Roman"/>
          <w:i/>
          <w:sz w:val="17"/>
        </w:rPr>
        <w:t xml:space="preserve">From causal order to operational geometry: declared structure enables</w:t>
      </w:r>
      <w:r>
        <w:rPr>
          <w:rFonts w:ascii="Times New Roman" w:hAnsi="Times New Roman"/>
          <w:i/>
          <w:sz w:val="17"/>
        </w:rPr>
        <w:t xml:space="preserve"> </w:t>
      </w:r>
      <w:r>
        <w:rPr>
          <w:rFonts w:ascii="Times New Roman" w:hAnsi="Times New Roman"/>
          <w:i/>
          <w:sz w:val="17"/>
        </w:rPr>
        <w:t xml:space="preserve">specific reconstructions (top), tested in a plane wave, a Schwarzschild</w:t>
      </w:r>
      <w:r>
        <w:rPr>
          <w:rFonts w:ascii="Times New Roman" w:hAnsi="Times New Roman"/>
          <w:i/>
          <w:sz w:val="17"/>
        </w:rPr>
        <w:t xml:space="preserve"> </w:t>
      </w:r>
      <w:r>
        <w:rPr>
          <w:rFonts w:ascii="Times New Roman" w:hAnsi="Times New Roman"/>
          <w:i/>
          <w:sz w:val="17"/>
        </w:rPr>
        <w:t xml:space="preserve">exterior, and a four-rung count/volume ladder</w:t>
      </w:r>
      <w:r>
        <w:rPr>
          <w:rFonts w:ascii="Times New Roman" w:hAnsi="Times New Roman"/>
          <w:i/>
          <w:sz w:val="17"/>
        </w:rPr>
        <w:t xml:space="preserve"> </w:t>
      </w:r>
      <w:r>
        <w:rPr>
          <w:rFonts w:ascii="Times New Roman" w:hAnsi="Times New Roman"/>
          <w:i/>
          <w:sz w:val="17"/>
        </w:rPr>
        <w:t xml:space="preserve">(bottom).</w:t>
      </w:r>
    </w:p>
    <w:p>
      <w:pPr>
        <w:pStyle w:val="BodyText"/>
        <w:widowControl/>
      </w:pPr>
      <w:r>
        <w:t xml:space="preserve">The main contribution is a branched dependency ledger from causal order to</w:t>
      </w:r>
      <w:r>
        <w:t xml:space="preserve"> </w:t>
      </w:r>
      <w:r>
        <w:t xml:space="preserve">dimension estimates, proper-time calibration, radar coordinates, oriented</w:t>
      </w:r>
      <w:r>
        <w:t xml:space="preserve"> </w:t>
      </w:r>
      <w:r>
        <w:t xml:space="preserve">Lorentz maps, observer atlases, and measure-dependent volume reconstruction.</w:t>
      </w:r>
      <w:r>
        <w:t xml:space="preserve"> </w:t>
      </w:r>
      <w:r>
        <w:t xml:space="preserve">Each step declares its input and finite-density behaviour. Counterexamples mark</w:t>
      </w:r>
      <w:r>
        <w:t xml:space="preserve"> </w:t>
      </w:r>
      <w:r>
        <w:t xml:space="preserve">hard boundaries: order alone supplies no metric scale, a single observer leaves</w:t>
      </w:r>
      <w:r>
        <w:t xml:space="preserve"> </w:t>
      </w:r>
      <w:r>
        <w:t xml:space="preserve">a reflection ambiguity, and finite signal speed alone does not imply</w:t>
      </w:r>
      <w:r>
        <w:t xml:space="preserve"> </w:t>
      </w:r>
      <w:r>
        <w:t xml:space="preserve">Lorentzian geometry.</w:t>
      </w:r>
    </w:p>
    <w:p>
      <w:pPr>
        <w:pStyle w:val="BodyText"/>
        <w:widowControl/>
      </w:pPr>
      <w:r>
        <w:t xml:space="preserve">Preregistered curved-space stages test the ledger at specified operating</w:t>
      </w:r>
      <w:r>
        <w:t xml:space="preserve"> </w:t>
      </w:r>
      <w:r>
        <w:t xml:space="preserve">points. In a vacuum plane wave with the flat comparator’s coordinate volume</w:t>
      </w:r>
      <w:r>
        <w:t xml:space="preserve"> </w:t>
      </w:r>
      <w:r>
        <w:t xml:space="preserve">form and sprinkling law, an order-only statistic detects a deliberately strong</w:t>
      </w:r>
      <w:r>
        <w:t xml:space="preserve"> </w:t>
      </w:r>
      <w:r>
        <w:t xml:space="preserve">pure-Weyl deformation. A frozen Schwarzschild exterior stage confirms paired</w:t>
      </w:r>
      <w:r>
        <w:t xml:space="preserve"> </w:t>
      </w:r>
      <w:r>
        <w:t xml:space="preserve">causal-relation shifts and single-poset discrimination with incomplete</w:t>
      </w:r>
      <w:r>
        <w:t xml:space="preserve"> </w:t>
      </w:r>
      <w:r>
        <w:t xml:space="preserve">separation. A four-rung mass ladder compares sprinkled counts with</w:t>
      </w:r>
      <w:r>
        <w:t xml:space="preserve"> </w:t>
      </w:r>
      <w:r>
        <w:t xml:space="preserve">independently certified continuum four-volumes under a frozen 2.5% equivalence</w:t>
      </w:r>
      <w:r>
        <w:t xml:space="preserve"> </w:t>
      </w:r>
      <w:r>
        <w:t xml:space="preserve">rule.</w:t>
      </w:r>
    </w:p>
    <w:p>
      <w:pPr>
        <w:pStyle w:val="BodyText"/>
        <w:widowControl/>
      </w:pPr>
      <w:r>
        <w:t xml:space="preserve">The manuscript fits CQG by connecting Lorentzian causal structure,</w:t>
      </w:r>
      <w:r>
        <w:t xml:space="preserve"> </w:t>
      </w:r>
      <w:r>
        <w:t xml:space="preserve">discrete-spacetime methods, black-hole exterior numerics, and operational</w:t>
      </w:r>
      <w:r>
        <w:t xml:space="preserve"> </w:t>
      </w:r>
      <w:r>
        <w:t xml:space="preserve">measurement. Its claims are deliberately conservative: these are validations</w:t>
      </w:r>
      <w:r>
        <w:t xml:space="preserve"> </w:t>
      </w:r>
      <w:r>
        <w:t xml:space="preserve">of reconstruction procedures, not evidence that spacetime is discrete or</w:t>
      </w:r>
      <w:r>
        <w:t xml:space="preserve"> </w:t>
      </w:r>
      <w:r>
        <w:t xml:space="preserve">reducible to causal order. Decision rules were archived before execution, and</w:t>
      </w:r>
      <w:r>
        <w:t xml:space="preserve"> </w:t>
      </w:r>
      <w:r>
        <w:t xml:space="preserve">reported figures are regenerated from version-controlled artifacts.</w:t>
      </w:r>
    </w:p>
    <w:p>
      <w:pPr>
        <w:pStyle w:val="BodyText"/>
        <w:widowControl/>
      </w:pPr>
      <w:r>
        <w:t xml:space="preserve">The manuscript is original, has not been published previously, and is not</w:t>
      </w:r>
      <w:r>
        <w:t xml:space="preserve"> </w:t>
      </w:r>
      <w:r>
        <w:t xml:space="preserve">under consideration elsewhere. There are no conflicts of interest. The code</w:t>
      </w:r>
      <w:r>
        <w:t xml:space="preserve"> </w:t>
      </w:r>
      <w:r>
        <w:t xml:space="preserve">and supporting data are identified in the Data Availability Statement.</w:t>
      </w:r>
    </w:p>
    <w:p>
      <w:pPr>
        <w:pStyle w:val="BodyText"/>
        <w:widowControl/>
      </w:pPr>
      <w:r>
        <w:t xml:space="preserve">Thank you for your consideration.</w:t>
      </w:r>
    </w:p>
    <w:p>
      <w:pPr>
        <w:pStyle w:val="BodyText"/>
        <w:widowControl/>
      </w:pPr>
      <w:r>
        <w:t xml:space="preserve">Sincerely,</w:t>
      </w:r>
    </w:p>
    <w:p>
      <w:pPr>
        <w:pStyle w:val="BodyText"/>
        <w:widowControl/>
      </w:pPr>
      <w:r>
        <w:t xml:space="preserve">Juneyoung Kim</w:t>
      </w:r>
      <w:r>
        <w:br/>
      </w:r>
      <w:r>
        <w:t xml:space="preserve">Independent researcher</w:t>
      </w:r>
      <w:r>
        <w:br/>
      </w:r>
      <w:r>
        <w:t xml:space="preserve">lpaiu.cs@gmail.com</w:t>
      </w:r>
    </w:p>
    <w:sectPr>
      <w:footnotePr>
        <w:numRestart w:val="eachSect"/>
      </w:footnotePr>
      <w:pgMar w:top="1008" w:bottom="1008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40" w:lineRule="auto"/>
    </w:pPr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2026-08-31T10:52:42Z</dcterms:created>
  <dcterms:modified xsi:type="dcterms:W3CDTF">2026-08-31T10:52:42Z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