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97f51a9834ae635831b81c39ea1faabb51e55c"/>
    <w:p>
      <w:pPr>
        <w:pStyle w:val="Heading1"/>
      </w:pPr>
      <w:r>
        <w:t xml:space="preserve">Cover letter (Classical and Quantum Gravity)</w:t>
      </w:r>
    </w:p>
    <w:p>
      <w:pPr>
        <w:pStyle w:val="FirstParagraph"/>
      </w:pPr>
      <w:r>
        <w:rPr>
          <w:i/>
          <w:iCs/>
        </w:rPr>
        <w:t xml:space="preserve">Final text, rev. 5 — four rounds of review of the letter itself. This</w:t>
      </w:r>
      <w:r>
        <w:rPr>
          <w:i/>
          <w:iCs/>
        </w:rPr>
        <w:t xml:space="preserve"> </w:t>
      </w:r>
      <w:r>
        <w:rPr>
          <w:i/>
          <w:iCs/>
        </w:rPr>
        <w:t xml:space="preserve">round (colleague review): rewritten in plain language for a desk editor</w:t>
      </w:r>
      <w:r>
        <w:rPr>
          <w:i/>
          <w:iCs/>
        </w:rPr>
        <w:t xml:space="preserve"> </w:t>
      </w:r>
      <w:r>
        <w:rPr>
          <w:i/>
          <w:iCs/>
        </w:rPr>
        <w:t xml:space="preserve">who is likely not a causal-structure specialist — every term of art is</w:t>
      </w:r>
      <w:r>
        <w:rPr>
          <w:i/>
          <w:iCs/>
        </w:rPr>
        <w:t xml:space="preserve"> </w:t>
      </w:r>
      <w:r>
        <w:rPr>
          <w:i/>
          <w:iCs/>
        </w:rPr>
        <w:t xml:space="preserve">glossed at first use — and the concept figure added. Submission is</w:t>
      </w:r>
      <w:r>
        <w:rPr>
          <w:i/>
          <w:iCs/>
        </w:rPr>
        <w:t xml:space="preserve"> </w:t>
      </w:r>
      <w:r>
        <w:rPr>
          <w:i/>
          <w:iCs/>
        </w:rPr>
        <w:t xml:space="preserve">performed by the author.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“Spacetime quantities from</w:t>
      </w:r>
      <w:r>
        <w:t xml:space="preserve"> </w:t>
      </w:r>
      <w:r>
        <w:t xml:space="preserve">causal order: an operational ladder with preregistered validations at</w:t>
      </w:r>
      <w:r>
        <w:t xml:space="preserve"> </w:t>
      </w:r>
      <w:r>
        <w:t xml:space="preserve">finite density,”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A standard result in Lorentzian geometry says that the causal structure</w:t>
      </w:r>
      <w:r>
        <w:t xml:space="preserve"> </w:t>
      </w:r>
      <w:r>
        <w:t xml:space="preserve">of a spacetime determines its conformal geometry — the pattern of light</w:t>
      </w:r>
      <w:r>
        <w:t xml:space="preserve"> </w:t>
      </w:r>
      <w:r>
        <w:t xml:space="preserve">cones — while volume information fixes the remaining scale. The</w:t>
      </w:r>
      <w:r>
        <w:t xml:space="preserve"> </w:t>
      </w:r>
      <w:r>
        <w:t xml:space="preserve">manuscript asks a more practical version of that statement: given only a</w:t>
      </w:r>
      <w:r>
        <w:t xml:space="preserve"> </w:t>
      </w:r>
      <w:r>
        <w:t xml:space="preserve">finite set of events and the causal order between them, which spacetime</w:t>
      </w:r>
      <w:r>
        <w:t xml:space="preserve"> </w:t>
      </w:r>
      <w:r>
        <w:t xml:space="preserve">quantities can actually be reconstructed, and what additional</w:t>
      </w:r>
      <w:r>
        <w:t xml:space="preserve"> </w:t>
      </w:r>
      <w:r>
        <w:t xml:space="preserve">information is needed for each one?</w:t>
      </w:r>
    </w:p>
    <w:p>
      <w:pPr>
        <w:pStyle w:val="CaptionedFigure"/>
      </w:pPr>
      <w:r>
        <w:drawing>
          <wp:inline>
            <wp:extent cx="4572000" cy="2773180"/>
            <wp:effectExtent b="0" l="0" r="0" t="0"/>
            <wp:docPr descr="The manuscript’s central object: each row of the reconstruction hierarchy adds one declared ingredient and names the spacetime quantity it unlocks — and what that ingredient set still does not supply." title="" id="10" name="Picture"/>
            <a:graphic>
              <a:graphicData uri="http://schemas.openxmlformats.org/drawingml/2006/picture">
                <pic:pic>
                  <pic:nvPicPr>
                    <pic:cNvPr descr="figures/png300/fig1_ladde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73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manuscript’s central object: each row of the reconstruction</w:t>
      </w:r>
      <w:r>
        <w:t xml:space="preserve"> </w:t>
      </w:r>
      <w:r>
        <w:t xml:space="preserve">hierarchy adds one declared ingredient and names the spacetime quantity</w:t>
      </w:r>
      <w:r>
        <w:t xml:space="preserve"> </w:t>
      </w:r>
      <w:r>
        <w:t xml:space="preserve">it unlocks — and what that ingredient set still does not</w:t>
      </w:r>
      <w:r>
        <w:t xml:space="preserve"> </w:t>
      </w:r>
      <w:r>
        <w:t xml:space="preserve">supply.</w:t>
      </w:r>
    </w:p>
    <w:p>
      <w:pPr>
        <w:pStyle w:val="BodyText"/>
      </w:pPr>
      <w:r>
        <w:t xml:space="preserve">We answer with a step-by-step reconstruction hierarchy, summarized in</w:t>
      </w:r>
      <w:r>
        <w:t xml:space="preserve"> </w:t>
      </w:r>
      <w:r>
        <w:t xml:space="preserve">the figure above.</w:t>
      </w:r>
      <w:r>
        <w:t xml:space="preserve"> </w:t>
      </w:r>
      <w:r>
        <w:t xml:space="preserve">Starting from causal order alone, we add one declared ingredient at a</w:t>
      </w:r>
      <w:r>
        <w:t xml:space="preserve"> </w:t>
      </w:r>
      <w:r>
        <w:t xml:space="preserve">time — an overall event density, an observer’s clock, an orientation</w:t>
      </w:r>
      <w:r>
        <w:t xml:space="preserve"> </w:t>
      </w:r>
      <w:r>
        <w:t xml:space="preserve">reference, overlapping observer charts, a local volume profile — and</w:t>
      </w:r>
      <w:r>
        <w:t xml:space="preserve"> </w:t>
      </w:r>
      <w:r>
        <w:t xml:space="preserve">measure what becomes recoverable at each step, with its error at finite</w:t>
      </w:r>
      <w:r>
        <w:t xml:space="preserve"> </w:t>
      </w:r>
      <w:r>
        <w:t xml:space="preserve">sampling density. Just as importantly, we show what cannot be recovered</w:t>
      </w:r>
      <w:r>
        <w:t xml:space="preserve"> </w:t>
      </w:r>
      <w:r>
        <w:t xml:space="preserve">while an ingredient is missing: causal order alone determines neither</w:t>
      </w:r>
      <w:r>
        <w:t xml:space="preserve"> </w:t>
      </w:r>
      <w:r>
        <w:t xml:space="preserve">the overall scale nor how the volume element varies from place to place;</w:t>
      </w:r>
      <w:r>
        <w:t xml:space="preserve"> </w:t>
      </w:r>
      <w:r>
        <w:t xml:space="preserve">a single observer cannot tell left from right (a reflection ambiguity);</w:t>
      </w:r>
      <w:r>
        <w:t xml:space="preserve"> </w:t>
      </w:r>
      <w:r>
        <w:t xml:space="preserve">and a finite signal speed by itself does not produce Lorentzian</w:t>
      </w:r>
      <w:r>
        <w:t xml:space="preserve"> </w:t>
      </w:r>
      <w:r>
        <w:t xml:space="preserve">geometry.</w:t>
      </w:r>
    </w:p>
    <w:p>
      <w:pPr>
        <w:pStyle w:val="BodyText"/>
      </w:pPr>
      <w:r>
        <w:t xml:space="preserve">We then test the framework in curved spacetime, in numerical experiments</w:t>
      </w:r>
      <w:r>
        <w:t xml:space="preserve"> </w:t>
      </w:r>
      <w:r>
        <w:t xml:space="preserve">that were preregistered: every decision rule was fixed and archived</w:t>
      </w:r>
      <w:r>
        <w:t xml:space="preserve"> </w:t>
      </w:r>
      <w:r>
        <w:t xml:space="preserve">before the data were generated. The first test uses a vacuum plane wave</w:t>
      </w:r>
      <w:r>
        <w:t xml:space="preserve"> </w:t>
      </w:r>
      <w:r>
        <w:t xml:space="preserve">built so that the volume element and the random placement of events (a</w:t>
      </w:r>
      <w:r>
        <w:t xml:space="preserve"> </w:t>
      </w:r>
      <w:r>
        <w:t xml:space="preserve">Poisson</w:t>
      </w:r>
      <w:r>
        <w:t xml:space="preserve"> </w:t>
      </w:r>
      <w:r>
        <w:t xml:space="preserve">“sprinkling”</w:t>
      </w:r>
      <w:r>
        <w:t xml:space="preserve">) are exactly the same as in flat spacetime, and</w:t>
      </w:r>
      <w:r>
        <w:t xml:space="preserve"> </w:t>
      </w:r>
      <w:r>
        <w:t xml:space="preserve">only the light cones change. Even at finite sampling density, a</w:t>
      </w:r>
      <w:r>
        <w:t xml:space="preserve"> </w:t>
      </w:r>
      <w:r>
        <w:t xml:space="preserve">statistic computed from the causal order alone separates the flat and</w:t>
      </w:r>
      <w:r>
        <w:t xml:space="preserve"> </w:t>
      </w:r>
      <w:r>
        <w:t xml:space="preserve">curved ensembles — and since nothing about the volume differs, the</w:t>
      </w:r>
      <w:r>
        <w:t xml:space="preserve"> </w:t>
      </w:r>
      <w:r>
        <w:t xml:space="preserve">signal cannot be attributed to volume effects. Matching tests on a</w:t>
      </w:r>
      <w:r>
        <w:t xml:space="preserve"> </w:t>
      </w:r>
      <w:r>
        <w:t xml:space="preserve">Schwarzschild exterior region confirm the same light-cone effect in a</w:t>
      </w:r>
      <w:r>
        <w:t xml:space="preserve"> </w:t>
      </w:r>
      <w:r>
        <w:t xml:space="preserve">paired design and show that a single sampled set already discriminates</w:t>
      </w:r>
      <w:r>
        <w:t xml:space="preserve"> </w:t>
      </w:r>
      <w:r>
        <w:t xml:space="preserve">the two geometries above chance. A final four-mass series then turns to</w:t>
      </w:r>
      <w:r>
        <w:t xml:space="preserve"> </w:t>
      </w:r>
      <w:r>
        <w:t xml:space="preserve">the volume half of the standard result: event counts from sprinkling</w:t>
      </w:r>
      <w:r>
        <w:t xml:space="preserve"> </w:t>
      </w:r>
      <w:r>
        <w:t xml:space="preserve">agree, within a preregistered 2.5% tolerance, with continuum</w:t>
      </w:r>
      <w:r>
        <w:t xml:space="preserve"> </w:t>
      </w:r>
      <w:r>
        <w:t xml:space="preserve">four-volumes certified in advance by interval arithmetic (computer</w:t>
      </w:r>
      <w:r>
        <w:t xml:space="preserve"> </w:t>
      </w:r>
      <w:r>
        <w:t xml:space="preserve">arithmetic that carries guaranteed error bounds) — so the comparison</w:t>
      </w:r>
      <w:r>
        <w:t xml:space="preserve"> </w:t>
      </w:r>
      <w:r>
        <w:t xml:space="preserve">runs against a certified prediction rather than a tuned margin.</w:t>
      </w:r>
    </w:p>
    <w:p>
      <w:pPr>
        <w:pStyle w:val="BodyText"/>
      </w:pPr>
      <w:r>
        <w:t xml:space="preserve">We believe the manuscript is well suited to</w:t>
      </w:r>
      <w:r>
        <w:t xml:space="preserve"> </w:t>
      </w:r>
      <w:r>
        <w:rPr>
          <w:i/>
          <w:iCs/>
        </w:rPr>
        <w:t xml:space="preserve">Classical and Quantum</w:t>
      </w:r>
      <w:r>
        <w:rPr>
          <w:i/>
          <w:iCs/>
        </w:rPr>
        <w:t xml:space="preserve"> </w:t>
      </w:r>
      <w:r>
        <w:rPr>
          <w:i/>
          <w:iCs/>
        </w:rPr>
        <w:t xml:space="preserve">Gravity</w:t>
      </w:r>
      <w:r>
        <w:t xml:space="preserve"> </w:t>
      </w:r>
      <w:r>
        <w:t xml:space="preserve">because it directly addresses the relation between causal</w:t>
      </w:r>
      <w:r>
        <w:t xml:space="preserve"> </w:t>
      </w:r>
      <w:r>
        <w:t xml:space="preserve">structure and spacetime geometry, and the reconstruction of continuum</w:t>
      </w:r>
      <w:r>
        <w:t xml:space="preserve"> </w:t>
      </w:r>
      <w:r>
        <w:t xml:space="preserve">geometry from discrete data. Its contribution is to make that</w:t>
      </w:r>
      <w:r>
        <w:t xml:space="preserve"> </w:t>
      </w:r>
      <w:r>
        <w:t xml:space="preserve">reconstruction operational: what can be recovered from finite causal</w:t>
      </w:r>
      <w:r>
        <w:t xml:space="preserve"> </w:t>
      </w:r>
      <w:r>
        <w:t xml:space="preserve">data, what extra information each step requires, and what ambiguities</w:t>
      </w:r>
      <w:r>
        <w:t xml:space="preserve"> </w:t>
      </w:r>
      <w:r>
        <w:t xml:space="preserve">remain when that information is absent — with the curved-spacetime tests</w:t>
      </w:r>
      <w:r>
        <w:t xml:space="preserve"> </w:t>
      </w:r>
      <w:r>
        <w:t xml:space="preserve">showing how these statements behave at finite density rather than only</w:t>
      </w:r>
      <w:r>
        <w:t xml:space="preserve"> </w:t>
      </w:r>
      <w:r>
        <w:t xml:space="preserve">in an ideal continuum limit. The computational claims are fully</w:t>
      </w:r>
      <w:r>
        <w:t xml:space="preserve"> </w:t>
      </w:r>
      <w:r>
        <w:t xml:space="preserve">auditable: the decision rules were archived before execution, the</w:t>
      </w:r>
      <w:r>
        <w:t xml:space="preserve"> </w:t>
      </w:r>
      <w:r>
        <w:t xml:space="preserve">numerical evidence is version-controlled in a public repository, and</w:t>
      </w:r>
      <w:r>
        <w:t xml:space="preserve"> </w:t>
      </w:r>
      <w:r>
        <w:t xml:space="preserve">automated checks rebuild the reported figures from the archived data.</w:t>
      </w:r>
    </w:p>
    <w:p>
      <w:pPr>
        <w:pStyle w:val="BodyText"/>
      </w:pPr>
      <w:r>
        <w:t xml:space="preserve">The manuscript is original, has not been published previously, and is</w:t>
      </w:r>
      <w:r>
        <w:t xml:space="preserve"> </w:t>
      </w:r>
      <w:r>
        <w:t xml:space="preserve">not under consideration elsewhere. There are no conflicts of interest.</w:t>
      </w:r>
      <w:r>
        <w:t xml:space="preserve"> </w:t>
      </w:r>
      <w:r>
        <w:t xml:space="preserve">Supporting data are cited in the Data Availability Statement. The use of</w:t>
      </w:r>
      <w:r>
        <w:t xml:space="preserve"> </w:t>
      </w:r>
      <w:r>
        <w:t xml:space="preserve">AI assistance in this work is disclosed in the Acknowledgements, per IOP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p>
      <w:r>
        <w:pict>
          <v:rect style="width:0;height:1.5pt" o:hralign="center" o:hrstd="t" o:hr="t"/>
        </w:pict>
      </w:r>
    </w:p>
    <w:bookmarkStart w:id="12" w:name="Xea3578bb1754a16058fae0cb7075c35099728ff"/>
    <w:p>
      <w:pPr>
        <w:pStyle w:val="Heading2"/>
      </w:pPr>
      <w:r>
        <w:t xml:space="preserve">Submission-form extras (not part of the letter)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/>
          <w:bCs/>
        </w:rPr>
        <w:t xml:space="preserve">Related manuscripts:</w:t>
      </w:r>
      <w:r>
        <w:t xml:space="preserve"> </w:t>
      </w:r>
      <w:r>
        <w:t xml:space="preserve">none under consideration anywhere. Form-ready</w:t>
      </w:r>
      <w:r>
        <w:t xml:space="preserve"> </w:t>
      </w:r>
      <w:r>
        <w:t xml:space="preserve">sentence, if asked:</w:t>
      </w:r>
      <w:r>
        <w:t xml:space="preserve"> </w:t>
      </w:r>
      <w:r>
        <w:t xml:space="preserve">“A companion study building a discriminator on this</w:t>
      </w:r>
      <w:r>
        <w:t xml:space="preserve"> </w:t>
      </w:r>
      <w:r>
        <w:t xml:space="preserve">foundation is in preparation and unsubmitted; the present manuscript is</w:t>
      </w:r>
      <w:r>
        <w:t xml:space="preserve"> </w:t>
      </w:r>
      <w:r>
        <w:t xml:space="preserve">self-contained and does not depend on it.”</w:t>
      </w:r>
      <w:r>
        <w:t xml:space="preserve"> </w:t>
      </w:r>
      <w:r>
        <w:t xml:space="preserve">(The manuscript’s Discussion</w:t>
      </w:r>
      <w:r>
        <w:t xml:space="preserve"> </w:t>
      </w:r>
      <w:r>
        <w:t xml:space="preserve">names it once.)</w:t>
      </w:r>
    </w:p>
    <w:p>
      <w:pPr>
        <w:pStyle w:val="BodyText"/>
      </w:pPr>
      <w:r>
        <w:rPr>
          <w:b/>
          <w:bCs/>
        </w:rPr>
        <w:t xml:space="preserve">Suggested reviewers.</w:t>
      </w:r>
      <w:r>
        <w:t xml:space="preserve"> </w:t>
      </w:r>
      <w:r>
        <w:t xml:space="preserve">Before entering them on the form: verify each</w:t>
      </w:r>
      <w:r>
        <w:t xml:space="preserve"> </w:t>
      </w:r>
      <w:r>
        <w:t xml:space="preserve">person’s current affiliation and e-mail from their institutional page,</w:t>
      </w:r>
      <w:r>
        <w:t xml:space="preserve"> </w:t>
      </w:r>
      <w:r>
        <w:t xml:space="preserve">and check for recent co-authorship, shared institutions, or other</w:t>
      </w:r>
      <w:r>
        <w:t xml:space="preserve"> </w:t>
      </w:r>
      <w:r>
        <w:t xml:space="preserve">conflicts. Final selection is editorial.</w:t>
      </w:r>
    </w:p>
    <w:p>
      <w:pPr>
        <w:pStyle w:val="Compact"/>
        <w:numPr>
          <w:ilvl w:val="0"/>
          <w:numId w:val="1001"/>
        </w:numPr>
      </w:pPr>
      <w:r>
        <w:t xml:space="preserve">Sumati Surya — author of the</w:t>
      </w:r>
      <w:r>
        <w:t xml:space="preserve"> </w:t>
      </w:r>
      <w:r>
        <w:rPr>
          <w:i/>
          <w:iCs/>
        </w:rPr>
        <w:t xml:space="preserve">Living Reviews in Relativity</w:t>
      </w:r>
      <w:r>
        <w:t xml:space="preserve"> </w:t>
      </w:r>
      <w:r>
        <w:t xml:space="preserve">survey of</w:t>
      </w:r>
      <w:r>
        <w:t xml:space="preserve"> </w:t>
      </w:r>
      <w:r>
        <w:t xml:space="preserve">causal set theory and of the small-diamond discrete-geometry results</w:t>
      </w:r>
      <w:r>
        <w:t xml:space="preserve"> </w:t>
      </w:r>
      <w:r>
        <w:t xml:space="preserve">the count stage is positioned against.</w:t>
      </w:r>
    </w:p>
    <w:p>
      <w:pPr>
        <w:pStyle w:val="Compact"/>
        <w:numPr>
          <w:ilvl w:val="0"/>
          <w:numId w:val="1001"/>
        </w:numPr>
      </w:pPr>
      <w:r>
        <w:t xml:space="preserve">Fay Dowker — co-author of the Lorentz-invariance/discreteness argument</w:t>
      </w:r>
      <w:r>
        <w:t xml:space="preserve"> </w:t>
      </w:r>
      <w:r>
        <w:t xml:space="preserve">and of the Benincasa-Dowker curvature estimator the manuscript names</w:t>
      </w:r>
      <w:r>
        <w:t xml:space="preserve"> </w:t>
      </w:r>
      <w:r>
        <w:t xml:space="preserve">as the complementary channel.</w:t>
      </w:r>
    </w:p>
    <w:p>
      <w:pPr>
        <w:pStyle w:val="Compact"/>
        <w:numPr>
          <w:ilvl w:val="0"/>
          <w:numId w:val="1001"/>
        </w:numPr>
      </w:pPr>
      <w:r>
        <w:t xml:space="preserve">David Rideout — co-author of the Schwarzschild causal-relation</w:t>
      </w:r>
      <w:r>
        <w:t xml:space="preserve"> </w:t>
      </w:r>
      <w:r>
        <w:t xml:space="preserve">algorithm (He-Rideout) the manuscript’s exact predicate is checked</w:t>
      </w:r>
      <w:r>
        <w:t xml:space="preserve"> </w:t>
      </w:r>
      <w:r>
        <w:t xml:space="preserve">against, and of large-scale causal set numerics.</w:t>
      </w:r>
    </w:p>
    <w:p>
      <w:pPr>
        <w:pStyle w:val="Compact"/>
        <w:numPr>
          <w:ilvl w:val="0"/>
          <w:numId w:val="1001"/>
        </w:numPr>
      </w:pPr>
      <w:r>
        <w:t xml:space="preserve">Lisa Glaser — causal set numerics and discrete d’Alembertians;</w:t>
      </w:r>
      <w:r>
        <w:t xml:space="preserve"> </w:t>
      </w:r>
      <w:r>
        <w:t xml:space="preserve">well placed to judge the estimator-side claims.</w:t>
      </w:r>
    </w:p>
    <w:p>
      <w:pPr>
        <w:pStyle w:val="Compact"/>
        <w:numPr>
          <w:ilvl w:val="0"/>
          <w:numId w:val="1001"/>
        </w:numPr>
      </w:pPr>
      <w:r>
        <w:t xml:space="preserve">(optional, if the form allows a fifth) Renate Loll — causal dynamical</w:t>
      </w:r>
      <w:r>
        <w:t xml:space="preserve"> </w:t>
      </w:r>
      <w:r>
        <w:t xml:space="preserve">triangulations; a neighbouring discrete Lorentzian programme, well</w:t>
      </w:r>
      <w:r>
        <w:t xml:space="preserve"> </w:t>
      </w:r>
      <w:r>
        <w:t xml:space="preserve">placed to judge the manuscript’s broader spacetime-reconstruction</w:t>
      </w:r>
      <w:r>
        <w:t xml:space="preserve"> </w:t>
      </w:r>
      <w:r>
        <w:t xml:space="preserve">positioning rather than its causal-set internals.</w:t>
      </w:r>
    </w:p>
    <w:p>
      <w:pPr>
        <w:pStyle w:val="FirstParagraph"/>
      </w:pPr>
      <w:r>
        <w:rPr>
          <w:b/>
          <w:bCs/>
        </w:rPr>
        <w:t xml:space="preserve">Opposed reviewers:</w:t>
      </w:r>
      <w:r>
        <w:t xml:space="preserve"> </w:t>
      </w:r>
      <w:r>
        <w:t xml:space="preserve">none.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2026-08-24T17:04:33Z</dcterms:created>
  <dcterms:modified xsi:type="dcterms:W3CDTF">2026-08-24T17:04:33Z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