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797f51a9834ae635831b81c39ea1faabb51e55c"/>
    <w:p>
      <w:pPr>
        <w:pStyle w:val="Heading1"/>
      </w:pPr>
      <w:r>
        <w:t xml:space="preserve">Cover letter (Classical and Quantum Gravity)</w:t>
      </w:r>
    </w:p>
    <w:p>
      <w:pPr>
        <w:pStyle w:val="FirstParagraph"/>
      </w:pPr>
      <w:r>
        <w:rPr>
          <w:i/>
          <w:iCs/>
        </w:rPr>
        <w:t xml:space="preserve">Final text. Submission itself is performed by the author; the referee</w:t>
      </w:r>
      <w:r>
        <w:rPr>
          <w:i/>
          <w:iCs/>
        </w:rPr>
        <w:t xml:space="preserve"> </w:t>
      </w:r>
      <w:r>
        <w:rPr>
          <w:i/>
          <w:iCs/>
        </w:rPr>
        <w:t xml:space="preserve">suggestions below were filled from the manuscript’s cited literature and</w:t>
      </w:r>
      <w:r>
        <w:rPr>
          <w:i/>
          <w:iCs/>
        </w:rPr>
        <w:t xml:space="preserve"> </w:t>
      </w:r>
      <w:r>
        <w:rPr>
          <w:i/>
          <w:iCs/>
        </w:rPr>
        <w:t xml:space="preserve">can be swapped on the submission form without touching the letter.</w:t>
      </w:r>
    </w:p>
    <w:p>
      <w:pPr>
        <w:pStyle w:val="BodyText"/>
      </w:pPr>
      <w:r>
        <w:t xml:space="preserve">Dear Editors of</w:t>
      </w:r>
      <w:r>
        <w:t xml:space="preserve"> </w:t>
      </w:r>
      <w:r>
        <w:rPr>
          <w:i/>
          <w:iCs/>
        </w:rPr>
        <w:t xml:space="preserve">Classical and Quantum Gravity</w:t>
      </w:r>
      <w:r>
        <w:t xml:space="preserve">,</w:t>
      </w:r>
    </w:p>
    <w:p>
      <w:pPr>
        <w:pStyle w:val="BodyText"/>
      </w:pPr>
      <w:r>
        <w:t xml:space="preserve">Please consider the enclosed manuscript,</w:t>
      </w:r>
      <w:r>
        <w:t xml:space="preserve"> </w:t>
      </w:r>
      <w:r>
        <w:t xml:space="preserve">“Spacetime quantities from</w:t>
      </w:r>
      <w:r>
        <w:t xml:space="preserve"> </w:t>
      </w:r>
      <w:r>
        <w:t xml:space="preserve">causal order: an operational ladder with preregistered validations at</w:t>
      </w:r>
      <w:r>
        <w:t xml:space="preserve"> </w:t>
      </w:r>
      <w:r>
        <w:t xml:space="preserve">finite density,”</w:t>
      </w:r>
      <w:r>
        <w:t xml:space="preserve"> </w:t>
      </w:r>
      <w:r>
        <w:t xml:space="preserve">for publication in</w:t>
      </w:r>
      <w:r>
        <w:t xml:space="preserve"> </w:t>
      </w:r>
      <w:r>
        <w:rPr>
          <w:i/>
          <w:iCs/>
        </w:rPr>
        <w:t xml:space="preserve">Classical and Quantum Gravity</w:t>
      </w:r>
      <w:r>
        <w:t xml:space="preserve"> </w:t>
      </w:r>
      <w:r>
        <w:t xml:space="preserve">as a Paper.</w:t>
      </w:r>
    </w:p>
    <w:p>
      <w:pPr>
        <w:pStyle w:val="BodyText"/>
      </w:pPr>
      <w:r>
        <w:t xml:space="preserve">The starting point is the theorem every order-first programme leans on:</w:t>
      </w:r>
      <w:r>
        <w:t xml:space="preserve"> </w:t>
      </w:r>
      <w:r>
        <w:t xml:space="preserve">causal structure fixes the conformal class, and a volume element fixes the</w:t>
      </w:r>
      <w:r>
        <w:t xml:space="preserve"> </w:t>
      </w:r>
      <w:r>
        <w:t xml:space="preserve">rest. The manuscript treats that statement operationally. It organizes, as</w:t>
      </w:r>
      <w:r>
        <w:t xml:space="preserve"> </w:t>
      </w:r>
      <w:r>
        <w:t xml:space="preserve">an explicit dependency ledger, which spacetime quantities a finite</w:t>
      </w:r>
      <w:r>
        <w:t xml:space="preserve"> </w:t>
      </w:r>
      <w:r>
        <w:t xml:space="preserve">procedure can actually reconstruct from a causal order once each minimal</w:t>
      </w:r>
      <w:r>
        <w:t xml:space="preserve"> </w:t>
      </w:r>
      <w:r>
        <w:t xml:space="preserve">extra ingredient — a global density, an observer clock, an orientation</w:t>
      </w:r>
      <w:r>
        <w:t xml:space="preserve"> </w:t>
      </w:r>
      <w:r>
        <w:t xml:space="preserve">reference, an atlas, a local measure profile — is supplied, with measured</w:t>
      </w:r>
      <w:r>
        <w:t xml:space="preserve"> </w:t>
      </w:r>
      <w:r>
        <w:t xml:space="preserve">error behaviour per rung, and bounds the ledger with negative results:</w:t>
      </w:r>
      <w:r>
        <w:t xml:space="preserve"> </w:t>
      </w:r>
      <w:r>
        <w:t xml:space="preserve">order alone fixes neither scale nor profile, a single observer leaves a</w:t>
      </w:r>
      <w:r>
        <w:t xml:space="preserve"> </w:t>
      </w:r>
      <w:r>
        <w:t xml:space="preserve">reflection degeneracy, and finite signal speed alone does not produce</w:t>
      </w:r>
      <w:r>
        <w:t xml:space="preserve"> </w:t>
      </w:r>
      <w:r>
        <w:t xml:space="preserve">Lorentzian structure.</w:t>
      </w:r>
    </w:p>
    <w:p>
      <w:pPr>
        <w:pStyle w:val="BodyText"/>
      </w:pPr>
      <w:r>
        <w:t xml:space="preserve">Three preregistered stages then carry the ledger’s conformal story to</w:t>
      </w:r>
      <w:r>
        <w:t xml:space="preserve"> </w:t>
      </w:r>
      <w:r>
        <w:t xml:space="preserve">curved spacetime. On a (3+1)-dimensional vacuum plane wave whose volume</w:t>
      </w:r>
      <w:r>
        <w:t xml:space="preserve"> </w:t>
      </w:r>
      <w:r>
        <w:t xml:space="preserve">form and sprinkling law are exactly flat — so only the light cones move —</w:t>
      </w:r>
      <w:r>
        <w:t xml:space="preserve"> </w:t>
      </w:r>
      <w:r>
        <w:t xml:space="preserve">an order-only statistic separates flat from curved ensembles at finite</w:t>
      </w:r>
      <w:r>
        <w:t xml:space="preserve"> </w:t>
      </w:r>
      <w:r>
        <w:t xml:space="preserve">sprinkling density, under decision rules frozen before execution. Separate</w:t>
      </w:r>
      <w:r>
        <w:t xml:space="preserve"> </w:t>
      </w:r>
      <w:r>
        <w:t xml:space="preserve">preregistered stages extend both claim classes to a Schwarzschild exterior</w:t>
      </w:r>
      <w:r>
        <w:t xml:space="preserve"> </w:t>
      </w:r>
      <w:r>
        <w:t xml:space="preserve">patch. And on a four-rung Schwarzschild mass ladder, the certified-</w:t>
      </w:r>
      <w:r>
        <w:t xml:space="preserve"> </w:t>
      </w:r>
      <w:r>
        <w:t xml:space="preserve">membership count of a Poisson sprinkling realizes, within a frozen 2.5%</w:t>
      </w:r>
      <w:r>
        <w:t xml:space="preserve"> </w:t>
      </w:r>
      <w:r>
        <w:t xml:space="preserve">band, continuum 4-volumes certified in advance by directed-rounding</w:t>
      </w:r>
      <w:r>
        <w:t xml:space="preserve"> </w:t>
      </w:r>
      <w:r>
        <w:t xml:space="preserve">interval arithmetic — to our knowledge the first preregistered equivalence</w:t>
      </w:r>
      <w:r>
        <w:t xml:space="preserve"> </w:t>
      </w:r>
      <w:r>
        <w:t xml:space="preserve">gate run against a certified volume enclosure; a literature priority</w:t>
      </w:r>
      <w:r>
        <w:t xml:space="preserve"> </w:t>
      </w:r>
      <w:r>
        <w:t xml:space="preserve">search (August 2026) found partial overlap in four adjacent areas and no</w:t>
      </w:r>
      <w:r>
        <w:t xml:space="preserve"> </w:t>
      </w:r>
      <w:r>
        <w:t xml:space="preserve">direct prior for that construction. A companion study (in preparation)</w:t>
      </w:r>
      <w:r>
        <w:t xml:space="preserve"> </w:t>
      </w:r>
      <w:r>
        <w:t xml:space="preserve">builds a preregistered discriminator on this foundation; the present</w:t>
      </w:r>
      <w:r>
        <w:t xml:space="preserve"> </w:t>
      </w:r>
      <w:r>
        <w:t xml:space="preserve">manuscript stands alone and does not depend on it.</w:t>
      </w:r>
    </w:p>
    <w:p>
      <w:pPr>
        <w:pStyle w:val="BodyText"/>
      </w:pPr>
      <w:r>
        <w:t xml:space="preserve">We believe the manuscript fits</w:t>
      </w:r>
      <w:r>
        <w:t xml:space="preserve"> </w:t>
      </w:r>
      <w:r>
        <w:rPr>
          <w:i/>
          <w:iCs/>
        </w:rPr>
        <w:t xml:space="preserve">Classical and Quantum Gravity</w:t>
      </w:r>
      <w:r>
        <w:t xml:space="preserve">’s causal</w:t>
      </w:r>
      <w:r>
        <w:t xml:space="preserve"> </w:t>
      </w:r>
      <w:r>
        <w:t xml:space="preserve">set readership directly: it re-derives the community’s standard</w:t>
      </w:r>
      <w:r>
        <w:t xml:space="preserve"> </w:t>
      </w:r>
      <w:r>
        <w:t xml:space="preserve">reconstructions as controlled validations, states exactly what each</w:t>
      </w:r>
      <w:r>
        <w:t xml:space="preserve"> </w:t>
      </w:r>
      <w:r>
        <w:t xml:space="preserve">requires, and adds a provenance discipline — frozen decision rules,</w:t>
      </w:r>
      <w:r>
        <w:t xml:space="preserve"> </w:t>
      </w:r>
      <w:r>
        <w:t xml:space="preserve">content-addressed evidence bundles, and contract tests that recompute</w:t>
      </w:r>
      <w:r>
        <w:t xml:space="preserve"> </w:t>
      </w:r>
      <w:r>
        <w:t xml:space="preserve">every printed figure from its committed artifact — that we hope is of</w:t>
      </w:r>
      <w:r>
        <w:t xml:space="preserve"> </w:t>
      </w:r>
      <w:r>
        <w:t xml:space="preserve">methodological interest beyond the specific results.</w:t>
      </w:r>
    </w:p>
    <w:p>
      <w:pPr>
        <w:pStyle w:val="BodyText"/>
      </w:pPr>
      <w:r>
        <w:t xml:space="preserve">The manuscript is original, has not been published previously, and is not</w:t>
      </w:r>
      <w:r>
        <w:t xml:space="preserve"> </w:t>
      </w:r>
      <w:r>
        <w:t xml:space="preserve">under consideration elsewhere. There are no conflicts of interest. All</w:t>
      </w:r>
      <w:r>
        <w:t xml:space="preserve"> </w:t>
      </w:r>
      <w:r>
        <w:t xml:space="preserve">supporting data are version-controlled in a public repository, cited in</w:t>
      </w:r>
      <w:r>
        <w:t xml:space="preserve"> </w:t>
      </w:r>
      <w:r>
        <w:t xml:space="preserve">the Data Availability Statement. The use of AI assistance in this work is</w:t>
      </w:r>
      <w:r>
        <w:t xml:space="preserve"> </w:t>
      </w:r>
      <w:r>
        <w:t xml:space="preserve">disclosed in the Acknowledgements, per IOP policy.</w:t>
      </w:r>
    </w:p>
    <w:p>
      <w:pPr>
        <w:pStyle w:val="BodyText"/>
      </w:pPr>
      <w:r>
        <w:t xml:space="preserve">Thank you for your consideration.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Juneyoung Kim</w:t>
      </w:r>
      <w:r>
        <w:t xml:space="preserve"> </w:t>
      </w:r>
      <w:r>
        <w:t xml:space="preserve">Independent researcher</w:t>
      </w:r>
      <w:r>
        <w:t xml:space="preserve"> </w:t>
      </w:r>
      <w:r>
        <w:t xml:space="preserve">lpaiu.cs@gmail.com</w:t>
      </w:r>
    </w:p>
    <w:p>
      <w:r>
        <w:pict>
          <v:rect style="width:0;height:1.5pt" o:hralign="center" o:hrstd="t" o:hr="t"/>
        </w:pict>
      </w:r>
    </w:p>
    <w:bookmarkStart w:id="9" w:name="Xea3578bb1754a16058fae0cb7075c35099728ff"/>
    <w:p>
      <w:pPr>
        <w:pStyle w:val="Heading2"/>
      </w:pPr>
      <w:r>
        <w:t xml:space="preserve">Submission-form extras (not part of the letter)</w:t>
      </w:r>
    </w:p>
    <w:p>
      <w:pPr>
        <w:pStyle w:val="FirstParagraph"/>
      </w:pPr>
      <w:r>
        <w:rPr>
          <w:b/>
          <w:bCs/>
        </w:rPr>
        <w:t xml:space="preserve">Article type:</w:t>
      </w:r>
      <w:r>
        <w:t xml:space="preserve"> </w:t>
      </w:r>
      <w:r>
        <w:t xml:space="preserve">Paper.</w:t>
      </w:r>
    </w:p>
    <w:p>
      <w:pPr>
        <w:pStyle w:val="BodyText"/>
      </w:pPr>
      <w:r>
        <w:rPr>
          <w:b/>
          <w:bCs/>
        </w:rPr>
        <w:t xml:space="preserve">Suggested reviewers</w:t>
      </w:r>
      <w:r>
        <w:t xml:space="preserve"> </w:t>
      </w:r>
      <w:r>
        <w:t xml:space="preserve">(all active in causal set theory and familiar</w:t>
      </w:r>
      <w:r>
        <w:t xml:space="preserve"> </w:t>
      </w:r>
      <w:r>
        <w:t xml:space="preserve">with the estimators and constructions the manuscript tests; contact</w:t>
      </w:r>
      <w:r>
        <w:t xml:space="preserve"> </w:t>
      </w:r>
      <w:r>
        <w:t xml:space="preserve">details to be taken from their current institutional pages at submission</w:t>
      </w:r>
      <w:r>
        <w:t xml:space="preserve"> </w:t>
      </w:r>
      <w:r>
        <w:t xml:space="preserve">time):</w:t>
      </w:r>
    </w:p>
    <w:p>
      <w:pPr>
        <w:pStyle w:val="Compact"/>
        <w:numPr>
          <w:ilvl w:val="0"/>
          <w:numId w:val="1001"/>
        </w:numPr>
      </w:pPr>
      <w:r>
        <w:t xml:space="preserve">Sumati Surya — author of the</w:t>
      </w:r>
      <w:r>
        <w:t xml:space="preserve"> </w:t>
      </w:r>
      <w:r>
        <w:rPr>
          <w:i/>
          <w:iCs/>
        </w:rPr>
        <w:t xml:space="preserve">Living Reviews in Relativity</w:t>
      </w:r>
      <w:r>
        <w:t xml:space="preserve"> </w:t>
      </w:r>
      <w:r>
        <w:t xml:space="preserve">survey of</w:t>
      </w:r>
      <w:r>
        <w:t xml:space="preserve"> </w:t>
      </w:r>
      <w:r>
        <w:t xml:space="preserve">causal set theory and of the small-diamond discrete-geometry results</w:t>
      </w:r>
      <w:r>
        <w:t xml:space="preserve"> </w:t>
      </w:r>
      <w:r>
        <w:t xml:space="preserve">the count stage is positioned against.</w:t>
      </w:r>
    </w:p>
    <w:p>
      <w:pPr>
        <w:pStyle w:val="Compact"/>
        <w:numPr>
          <w:ilvl w:val="0"/>
          <w:numId w:val="1001"/>
        </w:numPr>
      </w:pPr>
      <w:r>
        <w:t xml:space="preserve">Fay Dowker — co-author of the Lorentz-invariance/discreteness argument</w:t>
      </w:r>
      <w:r>
        <w:t xml:space="preserve"> </w:t>
      </w:r>
      <w:r>
        <w:t xml:space="preserve">and of the Benincasa-Dowker curvature estimator the manuscript names</w:t>
      </w:r>
      <w:r>
        <w:t xml:space="preserve"> </w:t>
      </w:r>
      <w:r>
        <w:t xml:space="preserve">as the complementary channel.</w:t>
      </w:r>
    </w:p>
    <w:p>
      <w:pPr>
        <w:pStyle w:val="Compact"/>
        <w:numPr>
          <w:ilvl w:val="0"/>
          <w:numId w:val="1001"/>
        </w:numPr>
      </w:pPr>
      <w:r>
        <w:t xml:space="preserve">David Rideout — co-author of the Schwarzschild causal-relation</w:t>
      </w:r>
      <w:r>
        <w:t xml:space="preserve"> </w:t>
      </w:r>
      <w:r>
        <w:t xml:space="preserve">algorithm (He-Rideout) the manuscript’s exact predicate is checked</w:t>
      </w:r>
      <w:r>
        <w:t xml:space="preserve"> </w:t>
      </w:r>
      <w:r>
        <w:t xml:space="preserve">against, and of large-scale causal set numerics.</w:t>
      </w:r>
    </w:p>
    <w:p>
      <w:pPr>
        <w:pStyle w:val="Compact"/>
        <w:numPr>
          <w:ilvl w:val="0"/>
          <w:numId w:val="1001"/>
        </w:numPr>
      </w:pPr>
      <w:r>
        <w:t xml:space="preserve">Lisa Glaser — causal set numerics and discrete d’Alembertians;</w:t>
      </w:r>
      <w:r>
        <w:t xml:space="preserve"> </w:t>
      </w:r>
      <w:r>
        <w:t xml:space="preserve">well placed to judge the estimator-side claims.</w:t>
      </w:r>
    </w:p>
    <w:p>
      <w:pPr>
        <w:pStyle w:val="FirstParagraph"/>
      </w:pPr>
      <w:r>
        <w:rPr>
          <w:b/>
          <w:bCs/>
        </w:rPr>
        <w:t xml:space="preserve">Opposed reviewers: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Companion paper:</w:t>
      </w:r>
      <w:r>
        <w:t xml:space="preserve"> </w:t>
      </w:r>
      <w:r>
        <w:t xml:space="preserve">named in the letter as in preparation; no manuscript</w:t>
      </w:r>
      <w:r>
        <w:t xml:space="preserve"> </w:t>
      </w:r>
      <w:r>
        <w:t xml:space="preserve">exists to enclose, and this submission does not depend on it.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2026-08-22T09:18:37Z</dcterms:created>
  <dcterms:modified xsi:type="dcterms:W3CDTF">2026-08-22T09:18:37Z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