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text, rev. 3 — two rounds of external review of the letter</w:t>
      </w:r>
      <w:r>
        <w:rPr>
          <w:i/>
          <w:iCs/>
        </w:rPr>
        <w:t xml:space="preserve"> </w:t>
      </w:r>
      <w:r>
        <w:rPr>
          <w:i/>
          <w:iCs/>
        </w:rPr>
        <w:t xml:space="preserve">itself: compressed for desk assessment, the priority claim replaced by</w:t>
      </w:r>
      <w:r>
        <w:rPr>
          <w:i/>
          <w:iCs/>
        </w:rPr>
        <w:t xml:space="preserve"> </w:t>
      </w:r>
      <w:r>
        <w:rPr>
          <w:i/>
          <w:iCs/>
        </w:rPr>
        <w:t xml:space="preserve">the methodological contrast it rested on, the control-variable logic</w:t>
      </w:r>
      <w:r>
        <w:rPr>
          <w:i/>
          <w:iCs/>
        </w:rPr>
        <w:t xml:space="preserve"> </w:t>
      </w:r>
      <w:r>
        <w:rPr>
          <w:i/>
          <w:iCs/>
        </w:rPr>
        <w:t xml:space="preserve">stated concretely. Submission is performed by the author.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“Spacetime quantities from</w:t>
      </w:r>
      <w:r>
        <w:t xml:space="preserve"> </w:t>
      </w:r>
      <w:r>
        <w:t xml:space="preserve">causal order: an operational ladder with preregistered validations at</w:t>
      </w:r>
      <w:r>
        <w:t xml:space="preserve"> </w:t>
      </w:r>
      <w:r>
        <w:t xml:space="preserve">finite density,”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The starting point is a standard rigidity result: causal structure fixes</w:t>
      </w:r>
      <w:r>
        <w:t xml:space="preserve"> </w:t>
      </w:r>
      <w:r>
        <w:t xml:space="preserve">the conformal class, and a compatible volume element fixes the remaining</w:t>
      </w:r>
      <w:r>
        <w:t xml:space="preserve"> </w:t>
      </w:r>
      <w:r>
        <w:t xml:space="preserve">conformal factor. The manuscript turns that continuum statement into a</w:t>
      </w:r>
      <w:r>
        <w:t xml:space="preserve"> </w:t>
      </w:r>
      <w:r>
        <w:t xml:space="preserve">finite-density operational reconstruction programme: an explicit ladder</w:t>
      </w:r>
      <w:r>
        <w:t xml:space="preserve"> </w:t>
      </w:r>
      <w:r>
        <w:t xml:space="preserve">of which spacetime quantities a finite procedure recovers from a causal</w:t>
      </w:r>
      <w:r>
        <w:t xml:space="preserve"> </w:t>
      </w:r>
      <w:r>
        <w:t xml:space="preserve">order once each minimal extra ingredient — a global density, an observer</w:t>
      </w:r>
      <w:r>
        <w:t xml:space="preserve"> </w:t>
      </w:r>
      <w:r>
        <w:t xml:space="preserve">clock, an orientation reference, an atlas, a local measure profile — is</w:t>
      </w:r>
      <w:r>
        <w:t xml:space="preserve"> </w:t>
      </w:r>
      <w:r>
        <w:t xml:space="preserve">supplied, with measured error behaviour per rung. Negative results bound</w:t>
      </w:r>
      <w:r>
        <w:t xml:space="preserve"> </w:t>
      </w:r>
      <w:r>
        <w:t xml:space="preserve">the hierarchy: order alone fixes neither scale nor profile, a single</w:t>
      </w:r>
      <w:r>
        <w:t xml:space="preserve"> </w:t>
      </w:r>
      <w:r>
        <w:t xml:space="preserve">observer leaves a reflection degeneracy, and finite signal speed alone</w:t>
      </w:r>
      <w:r>
        <w:t xml:space="preserve"> </w:t>
      </w:r>
      <w:r>
        <w:t xml:space="preserve">does not produce Lorentzian structure.</w:t>
      </w:r>
    </w:p>
    <w:p>
      <w:pPr>
        <w:pStyle w:val="BodyText"/>
      </w:pPr>
      <w:r>
        <w:t xml:space="preserve">Preregistered stages then carry the programme to curved spacetime — one</w:t>
      </w:r>
      <w:r>
        <w:t xml:space="preserve"> </w:t>
      </w:r>
      <w:r>
        <w:t xml:space="preserve">on a vacuum plane wave, two on a Schwarzschild exterior patch, and a</w:t>
      </w:r>
      <w:r>
        <w:t xml:space="preserve"> </w:t>
      </w:r>
      <w:r>
        <w:t xml:space="preserve">four-rung Schwarzschild mass-ladder count, every decision rule frozen</w:t>
      </w:r>
      <w:r>
        <w:t xml:space="preserve"> </w:t>
      </w:r>
      <w:r>
        <w:t xml:space="preserve">before execution. The plane-wave design isolates causal structure from</w:t>
      </w:r>
      <w:r>
        <w:t xml:space="preserve"> </w:t>
      </w:r>
      <w:r>
        <w:t xml:space="preserve">volume: the coordinate volume form and the sprinkling law are exactly</w:t>
      </w:r>
      <w:r>
        <w:t xml:space="preserve"> </w:t>
      </w:r>
      <w:r>
        <w:t xml:space="preserve">flat and only the light cones move, yet an order-only statistic</w:t>
      </w:r>
      <w:r>
        <w:t xml:space="preserve"> </w:t>
      </w:r>
      <w:r>
        <w:t xml:space="preserve">separates the flat and curved ensembles at finite sprinkling density. The mass-ladder count anchors the volume</w:t>
      </w:r>
      <w:r>
        <w:t xml:space="preserve"> </w:t>
      </w:r>
      <w:r>
        <w:t xml:space="preserve">channel from the other side: sprinkling counts agree, within a frozen</w:t>
      </w:r>
      <w:r>
        <w:t xml:space="preserve"> </w:t>
      </w:r>
      <w:r>
        <w:t xml:space="preserve">2.5% band, with continuum 4-volumes certified in advance by interval</w:t>
      </w:r>
      <w:r>
        <w:t xml:space="preserve"> </w:t>
      </w:r>
      <w:r>
        <w:t xml:space="preserve">arithmetic — a preregistered equivalence test run against a certified</w:t>
      </w:r>
      <w:r>
        <w:t xml:space="preserve"> </w:t>
      </w:r>
      <w:r>
        <w:t xml:space="preserve">bound rather than an operational margin.</w:t>
      </w:r>
    </w:p>
    <w:p>
      <w:pPr>
        <w:pStyle w:val="BodyText"/>
      </w:pPr>
      <w:r>
        <w:t xml:space="preserve">We believe the manuscript suits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: it</w:t>
      </w:r>
      <w:r>
        <w:t xml:space="preserve"> </w:t>
      </w:r>
      <w:r>
        <w:t xml:space="preserve">addresses causal structure and discrete-spacetime reconstruction</w:t>
      </w:r>
      <w:r>
        <w:t xml:space="preserve"> </w:t>
      </w:r>
      <w:r>
        <w:t xml:space="preserve">directly, and its treatment of operational identifiability — what must</w:t>
      </w:r>
      <w:r>
        <w:t xml:space="preserve"> </w:t>
      </w:r>
      <w:r>
        <w:t xml:space="preserve">be supplied before each quantity becomes recoverable — and of</w:t>
      </w:r>
      <w:r>
        <w:t xml:space="preserve"> </w:t>
      </w:r>
      <w:r>
        <w:t xml:space="preserve">finite-density validation is relevant more broadly to approaches that</w:t>
      </w:r>
      <w:r>
        <w:t xml:space="preserve"> </w:t>
      </w:r>
      <w:r>
        <w:t xml:space="preserve">infer continuum geometry from discrete or operational data. The</w:t>
      </w:r>
      <w:r>
        <w:t xml:space="preserve"> </w:t>
      </w:r>
      <w:r>
        <w:t xml:space="preserve">computational claims are fully auditable: decision rules were frozen</w:t>
      </w:r>
      <w:r>
        <w:t xml:space="preserve"> </w:t>
      </w:r>
      <w:r>
        <w:t xml:space="preserve">before execution, the numerical evidence is version-controlled and</w:t>
      </w:r>
      <w:r>
        <w:t xml:space="preserve"> </w:t>
      </w:r>
      <w:r>
        <w:t xml:space="preserve">content-addressed in a public repository, and automated checks</w:t>
      </w:r>
      <w:r>
        <w:t xml:space="preserve"> </w:t>
      </w:r>
      <w:r>
        <w:t xml:space="preserve">regenerate the reported figures from the archived artifacts.</w:t>
      </w:r>
    </w:p>
    <w:p>
      <w:pPr>
        <w:pStyle w:val="BodyText"/>
      </w:pPr>
      <w:r>
        <w:t xml:space="preserve">The manuscript is original, has not been published previously, and is</w:t>
      </w:r>
      <w:r>
        <w:t xml:space="preserve"> </w:t>
      </w:r>
      <w:r>
        <w:t xml:space="preserve">not under consideration elsewhere. There are no conflicts of interest.</w:t>
      </w:r>
      <w:r>
        <w:t xml:space="preserve"> </w:t>
      </w:r>
      <w:r>
        <w:t xml:space="preserve">Supporting data are cited in the Data Availability Statement. The use of</w:t>
      </w:r>
      <w:r>
        <w:t xml:space="preserve"> </w:t>
      </w:r>
      <w:r>
        <w:t xml:space="preserve">AI assistance in this work is disclosed in the Acknowledgements, per IOP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9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Related manuscripts:</w:t>
      </w:r>
      <w:r>
        <w:t xml:space="preserve"> </w:t>
      </w:r>
      <w:r>
        <w:t xml:space="preserve">none under consideration anywhere. A companion</w:t>
      </w:r>
      <w:r>
        <w:t xml:space="preserve"> </w:t>
      </w:r>
      <w:r>
        <w:t xml:space="preserve">study building a discriminator on this foundation is in preparation and</w:t>
      </w:r>
      <w:r>
        <w:t xml:space="preserve"> </w:t>
      </w:r>
      <w:r>
        <w:t xml:space="preserve">unsubmitted; the manuscript’s Discussion names it once. Kept out of the</w:t>
      </w:r>
      <w:r>
        <w:t xml:space="preserve"> </w:t>
      </w:r>
      <w:r>
        <w:t xml:space="preserve">letter so the submission is judged as what it is — self-contained.</w:t>
      </w:r>
    </w:p>
    <w:p>
      <w:pPr>
        <w:pStyle w:val="BodyText"/>
      </w:pPr>
      <w:r>
        <w:rPr>
          <w:b/>
          <w:bCs/>
        </w:rPr>
        <w:t xml:space="preserve">Suggested reviewers.</w:t>
      </w:r>
      <w:r>
        <w:t xml:space="preserve"> </w:t>
      </w:r>
      <w:r>
        <w:t xml:space="preserve">Before entering them on the form: verify each</w:t>
      </w:r>
      <w:r>
        <w:t xml:space="preserve"> </w:t>
      </w:r>
      <w:r>
        <w:t xml:space="preserve">person’s current affiliation and e-mail from their institutional page,</w:t>
      </w:r>
      <w:r>
        <w:t xml:space="preserve"> </w:t>
      </w:r>
      <w:r>
        <w:t xml:space="preserve">and check for recent co-authorship, shared institutions, or other</w:t>
      </w:r>
      <w:r>
        <w:t xml:space="preserve"> </w:t>
      </w:r>
      <w:r>
        <w:t xml:space="preserve">conflicts. Final selection is editorial.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Compact"/>
        <w:numPr>
          <w:ilvl w:val="0"/>
          <w:numId w:val="1001"/>
        </w:numPr>
      </w:pPr>
      <w:r>
        <w:t xml:space="preserve">(optional, if the form allows a fifth) Renate Loll — causal dynamical</w:t>
      </w:r>
      <w:r>
        <w:t xml:space="preserve"> </w:t>
      </w:r>
      <w:r>
        <w:t xml:space="preserve">triangulations; a neighbouring discrete Lorentzian programme, well</w:t>
      </w:r>
      <w:r>
        <w:t xml:space="preserve"> </w:t>
      </w:r>
      <w:r>
        <w:t xml:space="preserve">placed to judge the manuscript’s broader spacetime-reconstruction</w:t>
      </w:r>
      <w:r>
        <w:t xml:space="preserve"> </w:t>
      </w:r>
      <w:r>
        <w:t xml:space="preserve">positioning rather than its causal-set internals.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2026-08-22T13:26:15Z</dcterms:created>
  <dcterms:modified xsi:type="dcterms:W3CDTF">2026-08-22T13:26:15Z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