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cd571cce884c388a2482b253aa7c456725f0364"/>
      <w:r>
        <w:rPr/>
        <w:t>CellSim: Calibración ABC-SMC e identificación de subtipos tumorales</w:t>
      </w:r>
    </w:p>
    <w:p>
      <w:pPr>
        <w:pStyle w:val="FirstParagraph"/>
        <w:rPr/>
      </w:pPr>
      <w:r>
        <w:rPr>
          <w:i/>
          <w:iCs/>
        </w:rPr>
        <w:t>Documento interno de trabajo 6 — revisión 2 (gen4 corregido)</w:t>
      </w:r>
    </w:p>
    <w:p>
      <w:pPr>
        <w:pStyle w:val="BlockText"/>
        <w:rPr/>
      </w:pPr>
      <w:r>
        <w:rPr/>
        <w:t xml:space="preserve">Este documento asume familiaridad con el modelo CellSim (arquitectura, ciclo de vida celular, estados genéticos BRCA1/TP53, acumuladores D1/D2). Ver </w:t>
      </w:r>
      <w:r>
        <w:rPr>
          <w:b/>
          <w:bCs/>
        </w:rPr>
        <w:t>documento 3</w:t>
      </w:r>
      <w:r>
        <w:rPr/>
        <w:t xml:space="preserve"> para la descripción completa del modelo y el proceso de calibración bootstrap inicial.</w:t>
      </w:r>
    </w:p>
    <w:p>
      <w:pPr>
        <w:pStyle w:val="BlockText"/>
        <w:rPr/>
      </w:pPr>
      <w:del w:id="0" w:author="Autoría desconocida" w:date="2026-05-29T17:10:33Z">
        <w:r>
          <w:rPr>
            <w:b/>
            <w:bCs/>
          </w:rPr>
          <w:delText>Nota metodológica.</w:delText>
        </w:r>
      </w:del>
      <w:del w:id="1" w:author="Autoría desconocida" w:date="2026-05-29T17:10:33Z">
        <w:r>
          <w:rPr/>
          <w:delText xml:space="preserve"> Este documento reemplaza la versión anterior basada en </w:delText>
        </w:r>
      </w:del>
      <w:del w:id="2" w:author="Autoría desconocida" w:date="2026-05-29T17:10:33Z">
        <w:r>
          <w:rPr>
            <w:rStyle w:val="VerbatimChar"/>
          </w:rPr>
          <w:delText>results/abc_final_v4/gen_03.csv</w:delText>
        </w:r>
      </w:del>
      <w:del w:id="3" w:author="Autoría desconocida" w:date="2026-05-29T17:10:33Z">
        <w:r>
          <w:rPr/>
          <w:delText xml:space="preserve">, que utilizaba priors incorrectos (la región óptima quedaba fuera de los priors en 3 de los 4 parámetros) y </w:delText>
        </w:r>
      </w:del>
      <w:del w:id="4" w:author="Autoría desconocida" w:date="2026-05-29T17:10:33Z">
        <w:r>
          <w:rPr>
            <w:rStyle w:val="VerbatimChar"/>
          </w:rPr>
          <w:delText>tp53_rate=0.001</w:delText>
        </w:r>
      </w:del>
      <w:del w:id="5" w:author="Autoría desconocida" w:date="2026-05-29T17:10:33Z">
        <w:r>
          <w:rPr/>
          <w:delText xml:space="preserve"> en lugar del valor por defecto del modelo C++ (0.003). Los resultados aquí descritos provienen de </w:delText>
        </w:r>
      </w:del>
      <w:del w:id="6" w:author="Autoría desconocida" w:date="2026-05-29T17:10:33Z">
        <w:r>
          <w:rPr>
            <w:rStyle w:val="VerbatimChar"/>
          </w:rPr>
          <w:delText>results/abc_corrected_v1/gen_04.csv</w:delText>
        </w:r>
      </w:del>
      <w:del w:id="7" w:author="Autoría desconocida" w:date="2026-05-29T17:10:33Z">
        <w:r>
          <w:rPr/>
          <w:delText xml:space="preserve"> con la calibración corregida.</w:delText>
        </w:r>
      </w:del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/>
        <w:t>(i) Premisa de parámetros fijos</w:t>
      </w:r>
    </w:p>
    <w:p>
      <w:pPr>
        <w:pStyle w:val="FirstParagraph"/>
        <w:rPr/>
      </w:pPr>
      <w:r>
        <w:rPr/>
        <w:t xml:space="preserve">La calibración ABC-SMC trabaja con </w:t>
      </w:r>
      <w:r>
        <w:rPr>
          <w:b/>
          <w:bCs/>
        </w:rPr>
        <w:t>cuatro parámetros libres</w:t>
      </w:r>
      <w:r>
        <w:rPr/>
        <w:t xml:space="preserve"> y </w:t>
      </w:r>
      <w:r>
        <w:rPr>
          <w:b/>
          <w:bCs/>
        </w:rPr>
        <w:t>tres fijos</w:t>
      </w:r>
      <w:r>
        <w:rPr/>
        <w:t>. La justificación para fijar estos últimos es tanto biológica como metodológica: con más parámetros libres simultáneos el espacio posterior se vuelve no identificable en la práctica.</w:t>
      </w:r>
    </w:p>
    <w:p>
      <w:pPr>
        <w:pStyle w:val="Heading3"/>
        <w:rPr/>
      </w:pPr>
      <w:bookmarkStart w:id="1" w:name="tp53-como-ancla-del-modelo"/>
      <w:r>
        <w:rPr/>
        <w:t>TP53 como ancla del modelo</w:t>
      </w:r>
    </w:p>
    <w:p>
      <w:pPr>
        <w:pStyle w:val="FirstParagraph"/>
        <w:rPr/>
      </w:pPr>
      <w:r>
        <w:rPr>
          <w:rStyle w:val="VerbatimChar"/>
        </w:rPr>
        <w:t>tp53_rate = 0.003</w:t>
      </w:r>
      <w:r>
        <w:rPr/>
        <w:t xml:space="preserve"> se fija como la tasa base de mutación de TP53 por tick.</w:t>
      </w:r>
    </w:p>
    <w:p>
      <w:pPr>
        <w:pStyle w:val="BodyText"/>
        <w:rPr/>
      </w:pPr>
      <w:r>
        <w:rPr/>
        <w:t xml:space="preserve">TP53 es el “guardián del genoma”: en el ciclo de vida de CellSim gobierna la </w:t>
      </w:r>
      <w:r>
        <w:rPr>
          <w:b/>
          <w:bCs/>
        </w:rPr>
        <w:t>apoptosis intrínseca</w:t>
      </w:r>
      <w:r>
        <w:rPr/>
        <w:t xml:space="preserve"> (Fase 2 de </w:t>
      </w:r>
      <w:r>
        <w:rPr>
          <w:rStyle w:val="VerbatimChar"/>
        </w:rPr>
        <w:t>AgenticCell::live()</w:t>
      </w:r>
      <w:r>
        <w:rPr/>
        <w:t>), evaluada antes que cualquier otra decisión de destino celular. Este orden no es arbitrario — refleja la jerarquía biológica real: la eliminación p53-mediada precede a la vigilancia inmune y a la progresión neoplásica.</w:t>
      </w:r>
      <w:ins w:id="8" w:author="Autoría desconocida" w:date="2026-05-29T17:10:47Z">
        <w:r>
          <w:rPr/>
          <w:t xml:space="preserve"> </w:t>
        </w:r>
      </w:ins>
    </w:p>
    <w:p>
      <w:pPr>
        <w:pStyle w:val="BodyText"/>
        <w:rPr/>
      </w:pPr>
      <w:r>
        <w:rPr/>
        <w:t xml:space="preserve">El documento 3 (Sección vi) mostró que </w:t>
      </w:r>
      <w:r>
        <w:rPr>
          <w:rStyle w:val="VerbatimChar"/>
        </w:rPr>
        <w:t>tp53_rate</w:t>
      </w:r>
      <w:r>
        <w:rPr/>
        <w:t xml:space="preserve"> se comporta como un </w:t>
      </w:r>
      <w:r>
        <w:rPr>
          <w:b/>
          <w:bCs/>
        </w:rPr>
        <w:t>interruptor</w:t>
      </w:r>
      <w:r>
        <w:rPr/>
        <w:t>, no como un dial continuo: valores por encima de 0.003 destruyen la no-penetrancia del 30% que reproduce el dato clínico. Fijarlo libera los parámetros delta y brca1_rate para absorber la varianza biológicamente relevante.</w:t>
      </w:r>
      <w:ins w:id="9" w:author="Autoría desconocida" w:date="2026-05-29T17:11:07Z">
        <w:bookmarkEnd w:id="1"/>
        <w:r>
          <w:rPr/>
          <w:t xml:space="preserve"> </w:t>
        </w:r>
      </w:ins>
      <w:ins w:id="10" w:author="Autoría desconocida" w:date="2026-05-29T17:11:07Z">
        <w:r>
          <w:rPr/>
          <w:t>Dejamos pendiente una revisión del valor original post-parametrización.</w:t>
        </w:r>
      </w:ins>
    </w:p>
    <w:p>
      <w:pPr>
        <w:pStyle w:val="Heading3"/>
        <w:rPr/>
      </w:pPr>
      <w:r>
        <w:rPr/>
        <w:t>Umbrales de acumulación de daño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Parámetro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Interpretación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d1_threshold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D1 ≥ 2.0 activa PRIMER (bajo TP53 −/−)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d2_threshold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D2 ≥ 5.0 activa evasión inmune (TUMORAL)</w:t>
            </w:r>
          </w:p>
        </w:tc>
      </w:tr>
    </w:tbl>
    <w:p>
      <w:pPr>
        <w:pStyle w:val="BodyText"/>
        <w:rPr/>
      </w:pPr>
      <w:bookmarkStart w:id="2" w:name="umbrales-de-acumulación-de-daño"/>
      <w:r>
        <w:rPr/>
        <w:t>La asimetría θ_D1 &lt; θ_D2 codifica una realidad biológica fundamental: la inestabilidad genómica se inicia rápidamente, pero la evasión inmune sostenida requiere una acumulación mucho mayor.</w:t>
      </w:r>
      <w:ins w:id="11" w:author="Autoría desconocida" w:date="2026-05-29T17:11:14Z">
        <w:bookmarkEnd w:id="2"/>
        <w:r>
          <w:rPr/>
          <w:t xml:space="preserve"> </w:t>
        </w:r>
      </w:ins>
      <w:ins w:id="12" w:author="Autoría desconocida" w:date="2026-05-29T17:11:14Z">
        <w:r>
          <w:rPr/>
          <w:t xml:space="preserve">Estos parámetros son puntos de corte automáticos </w:t>
        </w:r>
      </w:ins>
      <w:ins w:id="13" w:author="Autoría desconocida" w:date="2026-05-29T17:11:14Z">
        <w:r>
          <w:rPr>
            <w:rFonts w:eastAsia="Cambria" w:cs="" w:cstheme="minorBidi" w:eastAsiaTheme="minorHAnsi"/>
            <w:color w:val="auto"/>
            <w:kern w:val="0"/>
            <w:sz w:val="24"/>
            <w:szCs w:val="24"/>
            <w:lang w:val="en-US" w:eastAsia="en-US" w:bidi="ar-SA"/>
          </w:rPr>
          <w:t>“y sin magnitud”, por lo que se decide definirlos de forma arbitraria en esta fase inicial del experimento. Más adelante cabe la posibilidad de evaluar su modific</w:t>
        </w:r>
      </w:ins>
      <w:ins w:id="14" w:author="Autoría desconocida" w:date="2026-05-29T17:12:15Z">
        <w:r>
          <w:rPr>
            <w:rFonts w:eastAsia="Cambria" w:cs="" w:cstheme="minorBidi" w:eastAsiaTheme="minorHAnsi"/>
            <w:color w:val="auto"/>
            <w:kern w:val="0"/>
            <w:sz w:val="24"/>
            <w:szCs w:val="24"/>
            <w:lang w:val="en-US" w:eastAsia="en-US" w:bidi="ar-SA"/>
          </w:rPr>
          <w:t>ación.</w:t>
        </w:r>
      </w:ins>
    </w:p>
    <w:p>
      <w:pPr>
        <w:pStyle w:val="Heading3"/>
        <w:rPr/>
      </w:pPr>
      <w:r>
        <w:rPr/>
        <w:t>Resumen: parámetros fijos vs. libres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Parámetro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Estado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Valor / Prior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tp53_rate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Fijo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d1_threshold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Fijo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d2_threshold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Fijo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brca1_rate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(β)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Libre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U[0.025, 0.080]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low_delta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(δ_low)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Libre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U[0.060, 0.220]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high_delta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(δ_high)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Libre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commentRangeStart w:id="0"/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U[0.120, 0.600]</w:t>
            </w:r>
            <w:ins w:id="15" w:author="Autoría desconocida" w:date="2026-05-29T17:12:33Z">
              <w:commentRangeEnd w:id="0"/>
              <w:r>
                <w:commentReference w:id="0"/>
              </w:r>
              <w:r>
                <w:rPr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</w:r>
            </w:ins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neoplastic_div_rate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(ν)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Libre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U[0.100, 0.240]</w:t>
            </w:r>
          </w:p>
        </w:tc>
      </w:tr>
    </w:tbl>
    <w:p>
      <w:pPr>
        <w:pStyle w:val="BodyText"/>
        <w:rPr/>
      </w:pPr>
      <w:r>
        <w:rPr/>
        <w:t>Restricción biológica dura: δ_high &gt; δ_low (la inestabilidad intrínseca en estado homocigoto supera la del estado heterocigoto).</w:t>
      </w:r>
    </w:p>
    <w:p>
      <w:pPr>
        <w:pStyle w:val="BodyText"/>
        <w:rPr/>
      </w:pPr>
      <w:r>
        <w:rPr/>
        <w:t xml:space="preserve">Los priors se anclaron empíricamente en los resultados del barrido en rejilla fino (documento 3, </w:t>
      </w:r>
      <w:r>
        <w:rPr>
          <w:rStyle w:val="VerbatimChar"/>
        </w:rPr>
        <w:t>results_sweep_p4_fine.csv</w:t>
      </w:r>
      <w:r>
        <w:rPr/>
        <w:t>), con el óptimo identificado en brca1_rate=0.050, δ_low=0.14, δ_high=0.28 (SSE=5.65).</w:t>
      </w:r>
    </w:p>
    <w:p>
      <w:pPr>
        <w:pStyle w:val="Normal"/>
        <w:rPr/>
      </w:pPr>
      <w:bookmarkStart w:id="3" w:name="resumen-parámetros-fijos-vs.-libres"/>
      <w:bookmarkStart w:id="4" w:name="i-premisa-de-parámetros-fij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  <w:bookmarkEnd w:id="4"/>
    </w:p>
    <w:p>
      <w:pPr>
        <w:pStyle w:val="Heading2"/>
        <w:rPr/>
      </w:pPr>
      <w:r>
        <w:rPr/>
        <w:t>(ii) El algoritmo ABC-SMC</w:t>
      </w:r>
    </w:p>
    <w:p>
      <w:pPr>
        <w:pStyle w:val="Heading3"/>
        <w:rPr/>
      </w:pPr>
      <w:r>
        <w:rPr/>
        <w:t>Motivación: inferencia sin verosimilitud</w:t>
      </w:r>
    </w:p>
    <w:p>
      <w:pPr>
        <w:pStyle w:val="FirstParagraph"/>
        <w:rPr/>
      </w:pPr>
      <w:r>
        <w:rPr/>
        <w:t>La inferencia bayesiana estándar requiere evaluar la verosimilitud p(D | θ) de los datos observados D dados los parámetros θ. Para CellSim esto es analíticamente intratable: el espacio de estados de 500 células interactuando durante décadas es combinatoriamente inmenso.</w:t>
      </w:r>
    </w:p>
    <w:p>
      <w:pPr>
        <w:pStyle w:val="BodyText"/>
        <w:rPr/>
      </w:pPr>
      <w:r>
        <w:rPr>
          <w:b/>
          <w:bCs/>
        </w:rPr>
        <w:t>ABC (Approximate Bayesian Computation)</w:t>
      </w:r>
      <w:r>
        <w:rPr/>
        <w:t xml:space="preserve"> reemplaza la evaluación de verosimilitud por comparación de simulaciones:</w:t>
      </w:r>
    </w:p>
    <w:p>
      <w:pPr>
        <w:pStyle w:val="Compact"/>
        <w:numPr>
          <w:ilvl w:val="0"/>
          <w:numId w:val="15"/>
        </w:numPr>
        <w:rPr/>
      </w:pPr>
      <w:r>
        <w:rPr/>
        <w:t>Muestrea θ* del prior π(θ)</w:t>
      </w:r>
    </w:p>
    <w:p>
      <w:pPr>
        <w:pStyle w:val="Compact"/>
        <w:numPr>
          <w:ilvl w:val="0"/>
          <w:numId w:val="16"/>
        </w:numPr>
        <w:rPr/>
      </w:pPr>
      <w:r>
        <w:rPr/>
        <w:t>Simula datos sintéticos D* ~ M(θ*)</w:t>
      </w:r>
    </w:p>
    <w:p>
      <w:pPr>
        <w:pStyle w:val="Compact"/>
        <w:numPr>
          <w:ilvl w:val="0"/>
          <w:numId w:val="17"/>
        </w:numPr>
        <w:rPr/>
      </w:pPr>
      <w:r>
        <w:rPr/>
        <w:t>Acepta θ* como muestra posterior si ρ(D*, D) ≤ ε</w:t>
      </w:r>
    </w:p>
    <w:p>
      <w:pPr>
        <w:pStyle w:val="FirstParagraph"/>
        <w:rPr/>
      </w:pPr>
      <w:r>
        <w:rPr/>
        <w:t>El posterior aproximado resultante es:</w:t>
      </w:r>
    </w:p>
    <w:p>
      <w:pPr>
        <w:pStyle w:val="SourceCode"/>
        <w:rPr/>
      </w:pPr>
      <w:r>
        <w:rPr>
          <w:rStyle w:val="VerbatimChar"/>
        </w:rPr>
        <w:t>p_ε(θ | D) ∝ π(θ) · P[ρ(D*, D) ≤ ε | θ]</w:t>
      </w:r>
    </w:p>
    <w:p>
      <w:pPr>
        <w:pStyle w:val="FirstParagraph"/>
        <w:rPr/>
      </w:pPr>
      <w:bookmarkStart w:id="5" w:name="motivación-inferencia-sin-verosimilitud"/>
      <w:r>
        <w:rPr/>
        <w:t>Cuando ε → 0, p_ε converge al posterior exacto. En la práctica ε se elige como balance entre calidad de aproximación y coste computacional.</w:t>
      </w:r>
      <w:bookmarkEnd w:id="5"/>
    </w:p>
    <w:p>
      <w:pPr>
        <w:pStyle w:val="Heading3"/>
        <w:rPr/>
      </w:pPr>
      <w:commentRangeStart w:id="1"/>
      <w:r>
        <w:rPr/>
        <w:t>Extensión Sequential Monte Carlo (SMC)</w:t>
      </w:r>
      <w:ins w:id="16" w:author="Autoría desconocida" w:date="2026-05-29T17:13:25Z">
        <w:commentRangeEnd w:id="1"/>
        <w:r>
          <w:commentReference w:id="1"/>
        </w:r>
        <w:r>
          <w:rPr/>
        </w:r>
      </w:ins>
    </w:p>
    <w:p>
      <w:pPr>
        <w:pStyle w:val="FirstParagraph"/>
        <w:rPr/>
      </w:pPr>
      <w:r>
        <w:rPr/>
        <w:t xml:space="preserve">El ABC de rechazo simple es prohibitivamente ineficiente cuando el posterior es estrecho. </w:t>
      </w:r>
      <w:r>
        <w:rPr>
          <w:b/>
          <w:bCs/>
        </w:rPr>
        <w:t>Toni et al. (2009)</w:t>
      </w:r>
      <w:r>
        <w:rPr/>
        <w:t xml:space="preserve"> introduce la extensión SMC, que construye una secuencia de distribuciones intermedias:</w:t>
      </w:r>
    </w:p>
    <w:p>
      <w:pPr>
        <w:pStyle w:val="SourceCode"/>
        <w:rPr/>
      </w:pPr>
      <w:r>
        <w:rPr>
          <w:rStyle w:val="VerbatimChar"/>
        </w:rPr>
        <w:t>p_{ε_0} ⊃ p_{ε_1} ⊃ ... ⊃ p_{ε_T}    con ε_0 &gt; ε_1 &gt; ... &gt; ε_T</w:t>
      </w:r>
    </w:p>
    <w:p>
      <w:pPr>
        <w:pStyle w:val="FirstParagraph"/>
        <w:rPr/>
      </w:pPr>
      <w:r>
        <w:rPr>
          <w:b/>
          <w:bCs/>
        </w:rPr>
        <w:t>Algoritmo formal</w:t>
      </w:r>
      <w:r>
        <w:rPr/>
        <w:t xml:space="preserve"> (N partículas, kernel de perturbación K):</w:t>
      </w:r>
    </w:p>
    <w:p>
      <w:pPr>
        <w:pStyle w:val="SourceCode"/>
        <w:rPr/>
      </w:pPr>
      <w:r>
        <w:rPr>
          <w:rStyle w:val="VerbatimChar"/>
        </w:rPr>
        <w:t xml:space="preserve">── </w:t>
      </w:r>
      <w:r>
        <w:rPr>
          <w:rStyle w:val="VerbatimChar"/>
        </w:rPr>
        <w:t>Generación 0: muestreo por rechazo del prior ─────────────────────────────</w:t>
      </w:r>
      <w:r>
        <w:rPr/>
        <w:br/>
      </w:r>
      <w:r>
        <w:rPr>
          <w:rStyle w:val="VerbatimChar"/>
        </w:rPr>
        <w:t>Para i = 1..N:</w:t>
      </w:r>
      <w:r>
        <w:rPr/>
        <w:br/>
      </w:r>
      <w:r>
        <w:rPr>
          <w:rStyle w:val="VerbatimChar"/>
        </w:rPr>
        <w:t xml:space="preserve">  Repetir hasta que ρ(D*, D) ≤ ε_0:</w:t>
      </w:r>
      <w:r>
        <w:rPr/>
        <w:br/>
      </w:r>
      <w:r>
        <w:rPr>
          <w:rStyle w:val="VerbatimChar"/>
        </w:rPr>
        <w:t xml:space="preserve">    Muestrear θ* ~ π</w:t>
      </w:r>
      <w:r>
        <w:rPr/>
        <w:br/>
      </w:r>
      <w:r>
        <w:rPr>
          <w:rStyle w:val="VerbatimChar"/>
        </w:rPr>
        <w:t xml:space="preserve">    Simular D* ~ M(θ*)</w:t>
      </w:r>
      <w:r>
        <w:rPr/>
        <w:br/>
      </w:r>
      <w:r>
        <w:rPr>
          <w:rStyle w:val="VerbatimChar"/>
        </w:rPr>
        <w:t xml:space="preserve">  θ_i^(0) ← θ*;  w_i^(0) ← 1/N</w:t>
      </w:r>
      <w:r>
        <w:rPr/>
        <w:br/>
        <w:br/>
      </w:r>
      <w:r>
        <w:rPr>
          <w:rStyle w:val="VerbatimChar"/>
        </w:rPr>
        <w:t>── Generaciones t = 1..T: refinamiento SMC ──────────────────────────────────</w:t>
      </w:r>
      <w:r>
        <w:rPr/>
        <w:br/>
      </w:r>
      <w:r>
        <w:rPr>
          <w:rStyle w:val="VerbatimChar"/>
        </w:rPr>
        <w:t>Para t = 1..T:</w:t>
      </w:r>
      <w:r>
        <w:rPr/>
        <w:br/>
      </w:r>
      <w:r>
        <w:rPr>
          <w:rStyle w:val="VerbatimChar"/>
        </w:rPr>
        <w:t xml:space="preserve">  Para i = 1..N:</w:t>
      </w:r>
      <w:r>
        <w:rPr/>
        <w:br/>
      </w:r>
      <w:r>
        <w:rPr>
          <w:rStyle w:val="VerbatimChar"/>
        </w:rPr>
        <w:t xml:space="preserve">    Repetir hasta que ρ(D*, D) ≤ ε_t:</w:t>
      </w:r>
      <w:r>
        <w:rPr/>
        <w:br/>
      </w:r>
      <w:r>
        <w:rPr>
          <w:rStyle w:val="VerbatimChar"/>
        </w:rPr>
        <w:t xml:space="preserve">      Muestrear θ** ~ {(θ_j^(t-1), w_j^(t-1))} (ponderado)</w:t>
      </w:r>
      <w:r>
        <w:rPr/>
        <w:br/>
      </w:r>
      <w:r>
        <w:rPr>
          <w:rStyle w:val="VerbatimChar"/>
        </w:rPr>
        <w:t xml:space="preserve">      Perturbar: θ* ~ K(· | θ**)</w:t>
      </w:r>
      <w:r>
        <w:rPr/>
        <w:br/>
      </w:r>
      <w:r>
        <w:rPr>
          <w:rStyle w:val="VerbatimChar"/>
        </w:rPr>
        <w:t xml:space="preserve">      Simular D* ~ M(θ*)</w:t>
      </w:r>
      <w:r>
        <w:rPr/>
        <w:br/>
      </w:r>
      <w:r>
        <w:rPr>
          <w:rStyle w:val="VerbatimChar"/>
        </w:rPr>
        <w:t xml:space="preserve">    θ_i^(t) ← θ*</w:t>
      </w:r>
      <w:r>
        <w:rPr/>
        <w:br/>
        <w:br/>
      </w:r>
      <w:r>
        <w:rPr>
          <w:rStyle w:val="VerbatimChar"/>
        </w:rPr>
        <w:t xml:space="preserve">    Peso SIS:</w:t>
      </w:r>
      <w:r>
        <w:rPr/>
        <w:br/>
      </w:r>
      <w:r>
        <w:rPr>
          <w:rStyle w:val="VerbatimChar"/>
        </w:rPr>
        <w:t xml:space="preserve">      w_i^(t) ∝ π(θ_i^(t)) / Σ_j [ w_j^(t-1) · K(θ_i^(t) | θ_j^(t-1)) ]</w:t>
      </w:r>
      <w:r>
        <w:rPr/>
        <w:br/>
        <w:br/>
      </w:r>
      <w:r>
        <w:rPr>
          <w:rStyle w:val="VerbatimChar"/>
        </w:rPr>
        <w:t xml:space="preserve">  Normalizar: w_i^(t) ← w_i^(t) / Σ_j w_j^(t)</w:t>
      </w:r>
    </w:p>
    <w:p>
      <w:pPr>
        <w:pStyle w:val="FirstParagraph"/>
        <w:rPr/>
      </w:pPr>
      <w:r>
        <w:rPr>
          <w:b/>
          <w:bCs/>
        </w:rPr>
        <w:t>Calendario de tolerancias adaptativo:</w:t>
      </w:r>
    </w:p>
    <w:p>
      <w:pPr>
        <w:pStyle w:val="SourceCode"/>
        <w:rPr/>
      </w:pPr>
      <w:r>
        <w:rPr>
          <w:rStyle w:val="VerbatimChar"/>
        </w:rPr>
        <w:t xml:space="preserve">ε_{t+1} = Q_α({ ρ_i^(t) }_{i=1}^N),    </w:t>
      </w:r>
      <w:commentRangeStart w:id="2"/>
      <w:r>
        <w:rPr>
          <w:rStyle w:val="VerbatimChar"/>
        </w:rPr>
        <w:t>α = 0.6</w:t>
      </w:r>
      <w:ins w:id="17" w:author="Autoría desconocida" w:date="2026-05-29T17:14:29Z">
        <w:commentRangeEnd w:id="2"/>
        <w:r>
          <w:commentReference w:id="2"/>
        </w:r>
        <w:r>
          <w:rPr>
            <w:rStyle w:val="VerbatimChar"/>
          </w:rPr>
        </w:r>
      </w:ins>
    </w:p>
    <w:p>
      <w:pPr>
        <w:pStyle w:val="FirstParagraph"/>
        <w:rPr/>
      </w:pPr>
      <w:r>
        <w:rPr>
          <w:b/>
          <w:bCs/>
        </w:rPr>
        <w:t>Kernel de perturbación</w:t>
      </w:r>
      <w:r>
        <w:rPr/>
        <w:t xml:space="preserve"> Gaussiano independiente por dimensión con escala adaptativa:</w:t>
      </w:r>
    </w:p>
    <w:p>
      <w:pPr>
        <w:pStyle w:val="SourceCode"/>
        <w:rPr/>
      </w:pPr>
      <w:r>
        <w:rPr>
          <w:rStyle w:val="VerbatimChar"/>
        </w:rPr>
        <w:t>σ_d^(t) = 2 · √(Var_d^(t-1)(θ))</w:t>
      </w:r>
    </w:p>
    <w:p>
      <w:pPr>
        <w:pStyle w:val="Normal"/>
        <w:rPr/>
      </w:pPr>
      <w:bookmarkStart w:id="6" w:name="extensión-sequential-monte-carlo-smc"/>
      <w:bookmarkStart w:id="7" w:name="ii-el-algoritmo-abc-sm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  <w:bookmarkEnd w:id="7"/>
    </w:p>
    <w:p>
      <w:pPr>
        <w:pStyle w:val="Heading2"/>
        <w:rPr/>
      </w:pPr>
      <w:r>
        <w:rPr/>
        <w:t>(iii) Métrica de distancia: SSE ponderado sobre CDF de onset</w:t>
      </w:r>
    </w:p>
    <w:p>
      <w:pPr>
        <w:pStyle w:val="Heading3"/>
        <w:rPr/>
      </w:pPr>
      <w:r>
        <w:rPr/>
        <w:t>Definición formal de onset</w:t>
      </w:r>
    </w:p>
    <w:p>
      <w:pPr>
        <w:pStyle w:val="BlockText"/>
        <w:rPr/>
      </w:pPr>
      <w:r>
        <w:rPr>
          <w:b/>
          <w:bCs/>
        </w:rPr>
        <w:t>Onset</w:t>
      </w:r>
      <w:r>
        <w:rPr/>
        <w:t xml:space="preserve"> (τ_onset) de una simulación individual: el tick (año) en que </w:t>
      </w:r>
      <w:r>
        <w:rPr>
          <w:b/>
          <w:bCs/>
        </w:rPr>
        <w:t>≥5% de las células del tejido simulado se encuentran en estado TUMORAL</w:t>
      </w:r>
      <w:r>
        <w:rPr/>
        <w:t xml:space="preserve"> simultáneamente.</w:t>
      </w:r>
    </w:p>
    <w:p>
      <w:pPr>
        <w:pStyle w:val="FirstParagraph"/>
        <w:rPr/>
      </w:pPr>
      <w:r>
        <w:rPr/>
        <w:t>El 5% refleja el punto en que la masa tumoral pasa de ser un microgrupo estadístico a una colonia con persistencia clínica (≈10⁹ células reales, límite de detección mamográfica).</w:t>
      </w:r>
    </w:p>
    <w:p>
      <w:pPr>
        <w:pStyle w:val="BodyText"/>
        <w:rPr/>
      </w:pPr>
      <w:r>
        <w:rPr/>
        <w:t xml:space="preserve">Cada evaluación de parámetros lanza </w:t>
      </w:r>
      <w:commentRangeStart w:id="3"/>
      <w:r>
        <w:rPr>
          <w:b/>
          <w:bCs/>
        </w:rPr>
        <w:t>n_sim = 150 réplicas</w:t>
      </w:r>
      <w:ins w:id="18" w:author="Autoría desconocida" w:date="2026-05-29T17:14:08Z">
        <w:r>
          <w:rPr>
            <w:b/>
            <w:bCs/>
          </w:rPr>
        </w:r>
      </w:ins>
      <w:commentRangeEnd w:id="3"/>
      <w:r>
        <w:commentReference w:id="3"/>
      </w:r>
      <w:r>
        <w:rPr/>
        <w:t xml:space="preserve"> independientes. La función de distancia es el SSE ponderado entre la CDF de onset simulada y los datos de Kuchenbaecker 2017:</w:t>
      </w:r>
    </w:p>
    <w:p>
      <w:pPr>
        <w:pStyle w:val="SourceCode"/>
        <w:rPr/>
      </w:pPr>
      <w:r>
        <w:rPr>
          <w:rStyle w:val="VerbatimChar"/>
        </w:rPr>
        <w:t>ρ(θ) = Σ_a  [CDF_sim(a) − CDF_kutch(a)]² / σ²_a</w:t>
      </w:r>
    </w:p>
    <w:p>
      <w:pPr>
        <w:pStyle w:val="FirstParagraph"/>
        <w:rPr/>
      </w:pPr>
      <w:r>
        <w:rPr/>
        <w:t>donde σ²_a = [IC_95(a) / (2 × 1.96)]² normaliza por la incertidumbre clínica en cada edad a ∈ {30,40,50,60,70,80}.</w:t>
      </w:r>
    </w:p>
    <w:p>
      <w:pPr>
        <w:pStyle w:val="Normal"/>
        <w:rPr/>
      </w:pPr>
      <w:bookmarkStart w:id="8" w:name="definición-formal-de-onset"/>
      <w:bookmarkStart w:id="9" w:name="Xc2e84535d708859984e06cec6a82e73460fdd4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r>
        <w:rPr/>
        <w:t>(iv) Experimento de calibración</w:t>
      </w:r>
    </w:p>
    <w:p>
      <w:pPr>
        <w:pStyle w:val="Heading3"/>
        <w:rPr/>
      </w:pPr>
      <w:r>
        <w:rPr/>
        <w:t>Configuración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Ajuste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Partículas por generación (N)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α (cuantil adaptativo)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ε_0 (tolerancia inicial)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ε_min (tolerancia de parada)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Generaciones completadas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(Gen 0–4)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Simulaciones por evaluación (n_sim)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Tamaño de tejido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células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Ticks simulados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 años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Semilla aleatoria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999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Workers paralelos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(OMP_NUM_THREADS=1)</w:t>
            </w:r>
            <w:bookmarkStart w:id="10" w:name="configuración"/>
            <w:bookmarkEnd w:id="10"/>
          </w:p>
        </w:tc>
      </w:tr>
    </w:tbl>
    <w:p>
      <w:pPr>
        <w:pStyle w:val="Heading3"/>
        <w:rPr/>
      </w:pPr>
      <w:r>
        <w:rPr/>
        <w:t>Tabla de convergencia</w:t>
      </w:r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ε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Aceptados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Intentos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dist̄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dist_min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ESS/N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20.00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200/200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11.521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13.50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1.94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15.43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200/200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18.923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9.98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1.17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0.965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11.61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200/200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30.297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7.31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1.08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0.942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8.19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200/200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53.295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5.54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0.57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0.960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6.20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200/200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87.253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4.45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0.92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0.917</w:t>
            </w:r>
          </w:p>
        </w:tc>
      </w:tr>
    </w:tbl>
    <w:p>
      <w:pPr>
        <w:pStyle w:val="BodyText"/>
        <w:rPr/>
      </w:pPr>
      <w:r>
        <w:rPr/>
        <w:t>El ESS se mantuvo ≥91%N en todas las generaciones — sin colapso de pesos. La distancia media descendió monotónicamente de 13.50 a 4.45, con mínimos que alcanzan 0.57–0.92 (el óptimo del barrido en rejilla era SSE=5.65 con N=200 runs; con n_sim=150 hay varianza residual que explica valores menores).</w:t>
      </w:r>
    </w:p>
    <w:p>
      <w:pPr>
        <w:pStyle w:val="Normal"/>
        <w:rPr/>
      </w:pPr>
      <w:bookmarkStart w:id="11" w:name="iv-experimento-de-calibrac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2"/>
        <w:rPr/>
      </w:pPr>
      <w:r>
        <w:rPr/>
        <w:t>(v) Resultados principales: estimaciones del posterior</w:t>
      </w:r>
    </w:p>
    <w:p>
      <w:pPr>
        <w:pStyle w:val="Heading3"/>
        <w:rPr/>
      </w:pPr>
      <w:r>
        <w:rPr/>
        <w:t>Estadísticos posteriores (Gen 4, N=200)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Parámetro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Media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 95%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β_BRCA1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[0.025, 0.080]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0.04446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0.00413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[0.0372, 0.0526]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δ_low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[0.060, 0.220]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0.10930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0.01886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[0.0836, 0.1468]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δ_high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[0.120, 0.600]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0.35038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0.12583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[0.1498, 0.5914]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ν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[0.100, 0.240]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0.15635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0.04103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[0.1015, 0.2300]</w:t>
            </w:r>
          </w:p>
        </w:tc>
      </w:tr>
    </w:tbl>
    <w:p>
      <w:pPr>
        <w:pStyle w:val="BodyText"/>
        <w:rPr/>
      </w:pPr>
      <w:r>
        <w:rPr>
          <w:b/>
          <w:bCs/>
        </w:rPr>
        <w:t>Observaciones:</w:t>
      </w:r>
    </w:p>
    <w:p>
      <w:pPr>
        <w:pStyle w:val="Compact"/>
        <w:numPr>
          <w:ilvl w:val="0"/>
          <w:numId w:val="2"/>
        </w:numPr>
        <w:rPr/>
      </w:pPr>
      <w:r>
        <w:rPr/>
        <w:t>β_BRCA1 está bien identificado: posterior ~5× más estrecho que el prior, centrado en 0.044 (~4.4% anual de adquisición del segundo golpe BRCA1). Coincide con el óptimo del barrido (0.050) dentro del IC.</w:t>
      </w:r>
    </w:p>
    <w:p>
      <w:pPr>
        <w:pStyle w:val="Compact"/>
        <w:numPr>
          <w:ilvl w:val="0"/>
          <w:numId w:val="2"/>
        </w:numPr>
        <w:rPr/>
      </w:pPr>
      <w:r>
        <w:rPr/>
        <w:t>δ_low bien constreñido (IC 95% cubre [0.084–0.147]), centrado cerca del óptimo del barrido (0.14). El prior era [0.060–0.220] — reducción de ~40%.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δ_high </w:t>
      </w:r>
      <w:r>
        <w:rPr>
          <w:b/>
          <w:bCs/>
        </w:rPr>
        <w:t>“sloppy”</w:t>
      </w:r>
      <w:r>
        <w:rPr/>
        <w:t>: IC95 cubre [0.15–0.59], prácticamente todo el prior. El modelo es insensible a este parámetro una vez satisfecha la restricción δ_high &gt; δ_low.</w:t>
      </w:r>
    </w:p>
    <w:p>
      <w:pPr>
        <w:pStyle w:val="Compact"/>
        <w:numPr>
          <w:ilvl w:val="0"/>
          <w:numId w:val="2"/>
        </w:numPr>
        <w:rPr/>
      </w:pPr>
      <w:bookmarkStart w:id="12" w:name="estadísticos-posteriores-gen-4-n200"/>
      <w:r>
        <w:rPr/>
        <w:t>ν bien identificado en el tercio inferior de su prior [0.10–0.23], con media 0.156.</w:t>
      </w:r>
      <w:bookmarkEnd w:id="12"/>
    </w:p>
    <w:p>
      <w:pPr>
        <w:pStyle w:val="Heading3"/>
        <w:rPr/>
      </w:pPr>
      <w:r>
        <w:rPr/>
        <w:t>Validación clínica: CDF del modelo vs. Kuchenbaecker 2017</w:t>
      </w:r>
    </w:p>
    <w:p>
      <w:pPr>
        <w:pStyle w:val="FirstParagraph"/>
        <w:rPr/>
      </w:pPr>
      <w:r>
        <w:rPr/>
        <w:t>Evaluación con el mejor conjunto de parámetros (SSE=3.92), n=500 runs: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Edad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Modelo (%)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Kuchenbaecker (%)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 95%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[2–7%]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[22–30%]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[41–52%]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[52–65%]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61.4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[56–73%]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63.6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70.0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[60–80%]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✅</w:t>
            </w:r>
          </w:p>
        </w:tc>
      </w:tr>
    </w:tbl>
    <w:p>
      <w:pPr>
        <w:pStyle w:val="BodyText"/>
        <w:rPr/>
      </w:pPr>
      <w:r>
        <w:rPr/>
        <w:t>Todos los puntos simulados caen dentro del IC 95% de Kuchenbaecker. El plateau ~63% a partir de los 70 años refleja la fracción de simulaciones sin onset en 80 ticks — la no-penetrancia emerge naturalmente de la protección TP53, sin programarla explícitamente.</w:t>
      </w:r>
    </w:p>
    <w:p>
      <w:pPr>
        <w:pStyle w:val="BodyText"/>
        <w:rPr/>
      </w:pPr>
      <w:r>
        <w:rPr>
          <w:i/>
          <w:iCs/>
        </w:rPr>
        <w:t xml:space="preserve">(Ver </w:t>
      </w:r>
      <w:r>
        <w:rPr>
          <w:b/>
          <w:bCs/>
          <w:i/>
          <w:iCs/>
        </w:rPr>
        <w:t>Figura 1</w:t>
      </w:r>
      <w:r>
        <w:rPr>
          <w:i/>
          <w:iCs/>
        </w:rPr>
        <w:t xml:space="preserve">: </w:t>
      </w:r>
      <w:r>
        <w:rPr>
          <w:rStyle w:val="VerbatimChar"/>
          <w:i/>
          <w:iCs/>
        </w:rPr>
        <w:t>gen4_cdf_fit.png</w:t>
      </w:r>
      <w:r>
        <w:rPr>
          <w:i/>
          <w:iCs/>
        </w:rPr>
        <w:t>)</w:t>
      </w:r>
    </w:p>
    <w:p>
      <w:pPr>
        <w:pStyle w:val="BodyText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61765"/>
            <wp:effectExtent l="0" t="0" r="0" b="0"/>
            <wp:wrapSquare wrapText="largest"/>
            <wp:docPr id="6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13" w:name="X6d83f4404ae057defd7af1437292facc26395d7"/>
      <w:bookmarkStart w:id="14" w:name="Xdb88b904fda21461eab933c8ebe008b98fac05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r>
        <w:rPr/>
        <w:t>(vi) Estructura del posterior: gradiente tumoral</w:t>
      </w:r>
    </w:p>
    <w:p>
      <w:pPr>
        <w:pStyle w:val="Heading3"/>
        <w:rPr/>
      </w:pPr>
      <w:r>
        <w:rPr/>
        <w:t>Sin bimodalidad — gradiente continuo en (δ_low, ν)</w:t>
      </w:r>
    </w:p>
    <w:p>
      <w:pPr>
        <w:pStyle w:val="FirstParagraph"/>
        <w:rPr/>
      </w:pPr>
      <w:r>
        <w:rPr/>
        <w:t xml:space="preserve">A diferencia de versiones previas con priors mal configurados, el posterior corregido es </w:t>
      </w:r>
      <w:r>
        <w:rPr>
          <w:b/>
          <w:bCs/>
        </w:rPr>
        <w:t>unimodal</w:t>
      </w:r>
      <w:r>
        <w:rPr/>
        <w:t xml:space="preserve"> en todos los parámetros (KDE con ancho de banda de Silverman: un solo pico en cada marginal). No hay bifurcación discreta del prior que indujera artefactos.</w:t>
      </w:r>
    </w:p>
    <w:p>
      <w:pPr>
        <w:pStyle w:val="BodyText"/>
        <w:rPr/>
      </w:pPr>
      <w:r>
        <w:rPr/>
        <w:t xml:space="preserve">Sin embargo, el posterior muestra una </w:t>
      </w:r>
      <w:r>
        <w:rPr>
          <w:b/>
          <w:bCs/>
        </w:rPr>
        <w:t>estructura de gradiente significativa</w:t>
      </w:r>
      <w:r>
        <w:rPr/>
        <w:t xml:space="preserve"> codificada en las correlaciones: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134"/>
        <w:gridCol w:w="1478"/>
        <w:gridCol w:w="2627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 de parámetros</w:t>
            </w:r>
          </w:p>
        </w:tc>
        <w:tc>
          <w:tcPr>
            <w:tcW w:w="21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 (Pearson)</w:t>
            </w:r>
          </w:p>
        </w:tc>
        <w:tc>
          <w:tcPr>
            <w:tcW w:w="14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p-valor</w:t>
            </w:r>
          </w:p>
        </w:tc>
        <w:tc>
          <w:tcPr>
            <w:tcW w:w="26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Interpretación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δ_low ↔ ν</w:t>
            </w:r>
          </w:p>
        </w:tc>
        <w:tc>
          <w:tcPr>
            <w:tcW w:w="21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0.609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&lt;10⁻²¹</w:t>
            </w:r>
          </w:p>
        </w:tc>
        <w:tc>
          <w:tcPr>
            <w:tcW w:w="26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Eje principal del gradiente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β_BRCA1 ↔ δ_low</w:t>
            </w:r>
          </w:p>
        </w:tc>
        <w:tc>
          <w:tcPr>
            <w:tcW w:w="21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+0.276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7.8×10⁻⁵</w:t>
            </w:r>
          </w:p>
        </w:tc>
        <w:tc>
          <w:tcPr>
            <w:tcW w:w="26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Compensatoria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δ_low ↔ δ_high</w:t>
            </w:r>
          </w:p>
        </w:tc>
        <w:tc>
          <w:tcPr>
            <w:tcW w:w="21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0.246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4.4×10⁻⁴</w:t>
            </w:r>
          </w:p>
        </w:tc>
        <w:tc>
          <w:tcPr>
            <w:tcW w:w="26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Barrera intrínseca vs. homocigota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β_BRCA1 ↔ ν</w:t>
            </w:r>
          </w:p>
        </w:tc>
        <w:tc>
          <w:tcPr>
            <w:tcW w:w="21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0.247</w:t>
            </w:r>
          </w:p>
        </w:tc>
        <w:tc>
          <w:tcPr>
            <w:tcW w:w="147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4.3×10⁻⁴</w:t>
            </w:r>
          </w:p>
        </w:tc>
        <w:tc>
          <w:tcPr>
            <w:tcW w:w="26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Secundaria</w:t>
            </w:r>
          </w:p>
        </w:tc>
      </w:tr>
    </w:tbl>
    <w:p>
      <w:pPr>
        <w:pStyle w:val="BodyText"/>
        <w:rPr/>
      </w:pPr>
      <w:r>
        <w:rPr/>
        <w:t xml:space="preserve">La anticorrelación r(δ_low, ν) = −0.609 es el eje estructural del posterior: </w:t>
      </w:r>
      <w:r>
        <w:rPr>
          <w:b/>
          <w:bCs/>
        </w:rPr>
        <w:t>baja barrera apoptótica se compensa con alta tasa de división neoplásica, y viceversa</w:t>
      </w:r>
      <w:r>
        <w:rPr/>
        <w:t>. Ambas configuraciones producen el mismo riesgo acumulado Kuchenbaecker, pero mediante dinámicas de crecimiento radicalmente distintas.</w:t>
      </w:r>
      <w:ins w:id="19" w:author="Autoría desconocida" w:date="2026-05-29T17:17:19Z">
        <w:r>
          <w:rPr/>
          <w:t xml:space="preserve"> </w:t>
        </w:r>
      </w:ins>
      <w:ins w:id="20" w:author="Autoría desconocida" w:date="2026-05-29T17:17:19Z">
        <w:r>
          <w:rPr/>
          <w:t>Una posible intepretación biológica de estos resultados se introduce en la siguiente sección.</w:t>
        </w:r>
      </w:ins>
    </w:p>
    <w:p>
      <w:pPr>
        <w:pStyle w:val="BodyText"/>
        <w:rPr/>
      </w:pPr>
      <w:r>
        <w:rPr>
          <w:i/>
          <w:iCs/>
        </w:rPr>
        <w:t xml:space="preserve">(Ver </w:t>
      </w:r>
      <w:r>
        <w:rPr>
          <w:b/>
          <w:bCs/>
          <w:i/>
          <w:iCs/>
        </w:rPr>
        <w:t>Figura 2</w:t>
      </w:r>
      <w:r>
        <w:rPr>
          <w:i/>
          <w:iCs/>
        </w:rPr>
        <w:t xml:space="preserve">: </w:t>
      </w:r>
      <w:r>
        <w:rPr>
          <w:rStyle w:val="VerbatimChar"/>
          <w:i/>
          <w:iCs/>
        </w:rPr>
        <w:t>gen4_pairwise.png</w:t>
      </w:r>
      <w:r>
        <w:rPr>
          <w:i/>
          <w:iCs/>
        </w:rPr>
        <w:t xml:space="preserve"> — pares de parámetros coloreados por SSE; </w:t>
      </w:r>
      <w:r>
        <w:rPr>
          <w:b/>
          <w:bCs/>
          <w:i/>
          <w:iCs/>
        </w:rPr>
        <w:t>Figura 3</w:t>
      </w:r>
      <w:r>
        <w:rPr>
          <w:i/>
          <w:iCs/>
        </w:rPr>
        <w:t xml:space="preserve">: </w:t>
      </w:r>
      <w:r>
        <w:rPr>
          <w:rStyle w:val="VerbatimChar"/>
          <w:i/>
          <w:iCs/>
        </w:rPr>
        <w:t>gen4_phenotypes.png</w:t>
      </w:r>
      <w:r>
        <w:rPr>
          <w:i/>
          <w:iCs/>
        </w:rPr>
        <w:t xml:space="preserve"> — gradiente con clusters)</w:t>
      </w:r>
    </w:p>
    <w:p>
      <w:pPr>
        <w:pStyle w:val="BodyTex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rPr>
          <w:i/>
          <w:i/>
          <w:iCs/>
        </w:rPr>
      </w:pPr>
      <w:r>
        <w:rPr>
          <w:i/>
          <w:iCs/>
        </w:rPr>
      </w:r>
      <w:r>
        <w:br w:type="page"/>
      </w:r>
    </w:p>
    <w:p>
      <w:pPr>
        <w:pStyle w:val="BodyText"/>
        <w:spacing w:before="0" w:after="180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66160"/>
            <wp:effectExtent l="0" t="0" r="0" b="0"/>
            <wp:wrapSquare wrapText="largest"/>
            <wp:docPr id="8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3810000</wp:posOffset>
            </wp:positionV>
            <wp:extent cx="5943600" cy="2122170"/>
            <wp:effectExtent l="0" t="0" r="0" b="0"/>
            <wp:wrapSquare wrapText="largest"/>
            <wp:docPr id="9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15" w:name="X052e16080dcffc0370e1804490f4a626067c00d"/>
      <w:bookmarkStart w:id="16" w:name="X23766a391e6a37f2c68d75aebe73969f952495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r>
        <w:rPr/>
        <w:t>(vii) Clustering fenotípico: dos subtipos de crecimiento</w:t>
      </w:r>
    </w:p>
    <w:p>
      <w:pPr>
        <w:pStyle w:val="Heading3"/>
        <w:rPr/>
      </w:pPr>
      <w:r>
        <w:rPr/>
        <w:t>Identificación de fenotipos</w:t>
      </w:r>
    </w:p>
    <w:p>
      <w:pPr>
        <w:pStyle w:val="FirstParagraph"/>
        <w:rPr/>
      </w:pPr>
      <w:r>
        <w:rPr/>
        <w:t>Dado el gradiente continuo en (δ_low, ν, β_BRCA1), aplicamos k-means (k=2) sobre estas tres variables estandarizadas para operacionalizar los extremos del gradiente: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51"/>
        <w:gridCol w:w="313"/>
        <w:gridCol w:w="1998"/>
        <w:gridCol w:w="1580"/>
        <w:gridCol w:w="2313"/>
        <w:gridCol w:w="2104"/>
      </w:tblGrid>
      <w:tr>
        <w:trPr>
          <w:tblHeader w:val="true"/>
        </w:trPr>
        <w:tc>
          <w:tcPr>
            <w:tcW w:w="10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Fenotipo</w:t>
            </w:r>
          </w:p>
        </w:tc>
        <w:tc>
          <w:tcPr>
            <w:tcW w:w="3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19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δ_low (media±std)</w:t>
            </w:r>
          </w:p>
        </w:tc>
        <w:tc>
          <w:tcPr>
            <w:tcW w:w="15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ν (media±std)</w:t>
            </w:r>
          </w:p>
        </w:tc>
        <w:tc>
          <w:tcPr>
            <w:tcW w:w="23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β_BRCA1 (media±std)</w:t>
            </w:r>
          </w:p>
        </w:tc>
        <w:tc>
          <w:tcPr>
            <w:tcW w:w="21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δ_high (media±std)</w:t>
            </w:r>
          </w:p>
        </w:tc>
      </w:tr>
      <w:tr>
        <w:trPr/>
        <w:tc>
          <w:tcPr>
            <w:tcW w:w="10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 — Agresivo</w:t>
            </w:r>
          </w:p>
        </w:tc>
        <w:tc>
          <w:tcPr>
            <w:tcW w:w="31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83</w:t>
            </w:r>
          </w:p>
        </w:tc>
        <w:tc>
          <w:tcPr>
            <w:tcW w:w="19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0.096 ± 0.009</w:t>
            </w:r>
          </w:p>
        </w:tc>
        <w:tc>
          <w:tcPr>
            <w:tcW w:w="1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0.191 ± 0.027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0.0429 ± 0.0034</w:t>
            </w:r>
          </w:p>
        </w:tc>
        <w:tc>
          <w:tcPr>
            <w:tcW w:w="21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0.360 ± 0.130</w:t>
            </w:r>
          </w:p>
        </w:tc>
      </w:tr>
      <w:tr>
        <w:trPr/>
        <w:tc>
          <w:tcPr>
            <w:tcW w:w="10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 — Basal</w:t>
            </w:r>
          </w:p>
        </w:tc>
        <w:tc>
          <w:tcPr>
            <w:tcW w:w="31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117</w:t>
            </w:r>
          </w:p>
        </w:tc>
        <w:tc>
          <w:tcPr>
            <w:tcW w:w="199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0.117 ± 0.015</w:t>
            </w:r>
          </w:p>
        </w:tc>
        <w:tc>
          <w:tcPr>
            <w:tcW w:w="15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0.129 ± 0.021</w:t>
            </w:r>
          </w:p>
        </w:tc>
        <w:tc>
          <w:tcPr>
            <w:tcW w:w="231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0.0460 ± 0.0034</w:t>
            </w:r>
          </w:p>
        </w:tc>
        <w:tc>
          <w:tcPr>
            <w:tcW w:w="210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0.347 ± 0.118</w:t>
            </w:r>
          </w:p>
        </w:tc>
      </w:tr>
    </w:tbl>
    <w:p>
      <w:pPr>
        <w:pStyle w:val="BodyText"/>
        <w:rPr/>
      </w:pPr>
      <w:bookmarkStart w:id="17" w:name="identificación-de-fenotipos"/>
      <w:r>
        <w:rPr/>
        <w:t>β_BRCA1 y δ_high no difieren significativamente entre fenotipos — la distinción está codificada específicamente en el plano (δ_low, ν).</w:t>
      </w:r>
      <w:bookmarkEnd w:id="17"/>
    </w:p>
    <w:p>
      <w:pPr>
        <w:pStyle w:val="Heading3"/>
        <w:rPr/>
      </w:pPr>
      <w:r>
        <w:rPr/>
        <w:t>Interpretación biológica</w:t>
      </w:r>
    </w:p>
    <w:p>
      <w:pPr>
        <w:pStyle w:val="FirstParagraph"/>
        <w:rPr/>
      </w:pPr>
      <w:r>
        <w:rPr>
          <w:b/>
          <w:bCs/>
        </w:rPr>
        <w:t>Fenotipo A — “Agresivo por escape”</w:t>
      </w:r>
    </w:p>
    <w:p>
      <w:pPr>
        <w:pStyle w:val="Compact"/>
        <w:numPr>
          <w:ilvl w:val="0"/>
          <w:numId w:val="18"/>
        </w:numPr>
        <w:rPr/>
      </w:pPr>
      <w:r>
        <w:rPr/>
        <w:t>δ_low ≈ 0.096: barrera apoptótica intrínseca débil → el tejido acumula células con daño subumbral sin eliminarlas eficientemente.</w:t>
      </w:r>
    </w:p>
    <w:p>
      <w:pPr>
        <w:pStyle w:val="Compact"/>
        <w:numPr>
          <w:ilvl w:val="0"/>
          <w:numId w:val="19"/>
        </w:numPr>
        <w:rPr/>
      </w:pPr>
      <w:r>
        <w:rPr/>
        <w:t>ν ≈ 0.191: cuando una célula cruza θ_D1 (PRIMER), se divide a alta frecuencia.</w:t>
      </w:r>
    </w:p>
    <w:p>
      <w:pPr>
        <w:pStyle w:val="Compact"/>
        <w:numPr>
          <w:ilvl w:val="0"/>
          <w:numId w:val="20"/>
        </w:numPr>
        <w:rPr>
          <w:ins w:id="22" w:author="Autoría desconocida" w:date="2026-05-29T17:18:41Z"/>
        </w:rPr>
      </w:pPr>
      <w:r>
        <w:rPr>
          <w:b/>
          <w:bCs/>
        </w:rPr>
        <w:t>Dinámica:</w:t>
      </w:r>
      <w:r>
        <w:rPr/>
        <w:t xml:space="preserve"> la iniciación tumoral es un evento raro (barrera alta de entrada relativa en términos del número de células necesarias para cruzar), pero cuando ocurre, el clon neoplásico tiene pocos competidores y alta ν → colonización rápida del tejido.</w:t>
      </w:r>
      <w:ins w:id="21" w:author="Autoría desconocida" w:date="2026-05-29T17:18:41Z">
        <w:r>
          <w:rPr/>
          <w:t xml:space="preserve"> </w:t>
        </w:r>
      </w:ins>
    </w:p>
    <w:p>
      <w:pPr>
        <w:pStyle w:val="Compact"/>
        <w:numPr>
          <w:ilvl w:val="0"/>
          <w:numId w:val="21"/>
        </w:numPr>
        <w:rPr/>
      </w:pPr>
      <w:ins w:id="23" w:author="Autoría desconocida" w:date="2026-05-29T17:18:41Z">
        <w:r>
          <w:rPr>
            <w:rFonts w:eastAsia="Cambria" w:cs="" w:cstheme="minorBidi" w:eastAsiaTheme="minorHAnsi"/>
            <w:color w:val="auto"/>
            <w:kern w:val="0"/>
            <w:sz w:val="24"/>
            <w:szCs w:val="24"/>
            <w:lang w:val="en-US" w:eastAsia="en-US" w:bidi="ar-SA"/>
          </w:rPr>
          <w:t xml:space="preserve">Observaciones: Esto puede deberse a la acumulación de mutaciones y tejidos menores </w:t>
        </w:r>
      </w:ins>
      <w:ins w:id="24" w:author="Autoría desconocida" w:date="2026-05-29T17:20:03Z">
        <w:r>
          <w:rPr>
            <w:rFonts w:eastAsia="Cambria" w:cs="" w:cstheme="minorBidi" w:eastAsiaTheme="minorHAnsi"/>
            <w:color w:val="auto"/>
            <w:kern w:val="0"/>
            <w:sz w:val="24"/>
            <w:szCs w:val="24"/>
            <w:lang w:val="en-US" w:eastAsia="en-US" w:bidi="ar-SA"/>
          </w:rPr>
          <w:t>que derivan en tejidos tumorales más agresivos. Una interpretación es que estos tumores sean esporá</w:t>
        </w:r>
      </w:ins>
      <w:ins w:id="25" w:author="Autoría desconocida" w:date="2026-05-29T17:21:04Z">
        <w:r>
          <w:rPr>
            <w:rFonts w:eastAsia="Cambria" w:cs="" w:cstheme="minorBidi" w:eastAsiaTheme="minorHAnsi"/>
            <w:color w:val="auto"/>
            <w:kern w:val="0"/>
            <w:sz w:val="24"/>
            <w:szCs w:val="24"/>
            <w:lang w:val="en-US" w:eastAsia="en-US" w:bidi="ar-SA"/>
          </w:rPr>
          <w:t>dicos, heterogéneos y derivados de cambios somáticos.</w:t>
        </w:r>
      </w:ins>
      <w:ins w:id="26" w:author="Autoría desconocida" w:date="2026-05-29T17:23:36Z">
        <w:r>
          <w:rPr>
            <w:rFonts w:eastAsia="Cambria" w:cs="" w:cstheme="minorBidi" w:eastAsiaTheme="minorHAnsi"/>
            <w:color w:val="auto"/>
            <w:kern w:val="0"/>
            <w:sz w:val="24"/>
            <w:szCs w:val="24"/>
            <w:lang w:val="en-US" w:eastAsia="en-US" w:bidi="ar-SA"/>
          </w:rPr>
          <w:t xml:space="preserve"> </w:t>
        </w:r>
      </w:ins>
    </w:p>
    <w:p>
      <w:pPr>
        <w:pStyle w:val="FirstParagraph"/>
        <w:rPr/>
      </w:pPr>
      <w:r>
        <w:rPr>
          <w:b/>
          <w:bCs/>
        </w:rPr>
        <w:t>Fenotipo B — “Basal por inevitabilidad”</w:t>
      </w:r>
    </w:p>
    <w:p>
      <w:pPr>
        <w:pStyle w:val="Compact"/>
        <w:numPr>
          <w:ilvl w:val="0"/>
          <w:numId w:val="22"/>
        </w:numPr>
        <w:rPr/>
      </w:pPr>
      <w:r>
        <w:rPr/>
        <w:t>δ_low ≈ 0.117: mayor presión selectiva → el tejido elimina activamente células dañadas.</w:t>
      </w:r>
    </w:p>
    <w:p>
      <w:pPr>
        <w:pStyle w:val="Compact"/>
        <w:numPr>
          <w:ilvl w:val="0"/>
          <w:numId w:val="23"/>
        </w:numPr>
        <w:rPr/>
      </w:pPr>
      <w:r>
        <w:rPr/>
        <w:t>ν ≈ 0.129: el clon neoplásico crece más despacio una vez establecido.</w:t>
      </w:r>
    </w:p>
    <w:p>
      <w:pPr>
        <w:pStyle w:val="Compact"/>
        <w:numPr>
          <w:ilvl w:val="0"/>
          <w:numId w:val="24"/>
        </w:numPr>
        <w:rPr>
          <w:ins w:id="28" w:author="Autoría desconocida" w:date="2026-05-29T17:21:32Z"/>
        </w:rPr>
      </w:pPr>
      <w:r>
        <w:rPr>
          <w:b/>
          <w:bCs/>
        </w:rPr>
        <w:t>Dinámica:</w:t>
      </w:r>
      <w:r>
        <w:rPr/>
        <w:t xml:space="preserve"> la eliminación continua acelera el agotamiento de la reserva de daño acumulado en el tejido sano, haciendo que el umbral D2 se alcance más gradualmente pero de forma más inexorable.</w:t>
      </w:r>
      <w:ins w:id="27" w:author="Autoría desconocida" w:date="2026-05-29T17:21:32Z">
        <w:r>
          <w:rPr/>
          <w:t xml:space="preserve"> </w:t>
        </w:r>
      </w:ins>
    </w:p>
    <w:p>
      <w:pPr>
        <w:pStyle w:val="Compact"/>
        <w:numPr>
          <w:ilvl w:val="0"/>
          <w:numId w:val="25"/>
        </w:numPr>
        <w:rPr/>
      </w:pPr>
      <w:ins w:id="29" w:author="Autoría desconocida" w:date="2026-05-29T17:21:32Z">
        <w:r>
          <w:rPr/>
          <w:t>Obsevaciones: E</w:t>
        </w:r>
      </w:ins>
      <w:ins w:id="30" w:author="Autoría desconocida" w:date="2026-05-29T17:22:33Z">
        <w:r>
          <w:rPr/>
          <w:t xml:space="preserve">ste es un escenario donde la estructura genómica germinal del tejido es más inestable, </w:t>
        </w:r>
      </w:ins>
      <w:ins w:id="31" w:author="Autoría desconocida" w:date="2026-05-29T17:30:04Z">
        <w:r>
          <w:rPr/>
          <w:t xml:space="preserve">acumulando más mutaciones y provocando que haya un continuo de células mutadas que van subiendo los D1 y D2 de forma genral </w:t>
        </w:r>
      </w:ins>
    </w:p>
    <w:p>
      <w:pPr>
        <w:pStyle w:val="FirstParagraph"/>
        <w:rPr/>
      </w:pPr>
      <w:r>
        <w:rPr>
          <w:b/>
          <w:bCs/>
        </w:rPr>
        <w:t>Por qué el onset es indistinguible entre fenotipos</w:t>
      </w:r>
    </w:p>
    <w:p>
      <w:pPr>
        <w:pStyle w:val="BodyText"/>
        <w:rPr/>
      </w:pPr>
      <w:r>
        <w:rPr/>
        <w:t>La anticorrelación r = −0.609 es la clave: el ABC ha encontrado dos soluciones distintas al mismo problema de ajuste. Los datos de incidencia poblacional integran ambas subpoblaciones — si su prevalencia es mixta, la curva de Kuchenbaecker es exactamente la mezcla de dos dinámicas de crecimiento distintas, indistinguibles con datos de nivel poblacional.</w:t>
      </w:r>
    </w:p>
    <w:p>
      <w:pPr>
        <w:pStyle w:val="Normal"/>
        <w:rPr/>
      </w:pPr>
      <w:bookmarkStart w:id="18" w:name="interpretación-biológica"/>
      <w:bookmarkStart w:id="19" w:name="Xade3f302fdbfb74316ec04441d3d5dcdbe8c20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2"/>
        <w:rPr/>
      </w:pPr>
      <w:r>
        <w:rPr/>
        <w:t>(viii) Agresividad: onset vs. saturación</w:t>
      </w:r>
    </w:p>
    <w:p>
      <w:pPr>
        <w:pStyle w:val="FirstParagraph"/>
        <w:rPr/>
      </w:pPr>
      <w:r>
        <w:rPr/>
        <w:t>La comparación de las métricas de progresión entre fenotipos revela una asimetría importante: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27"/>
        <w:gridCol w:w="3490"/>
        <w:gridCol w:w="3015"/>
        <w:gridCol w:w="1427"/>
      </w:tblGrid>
      <w:tr>
        <w:trPr>
          <w:tblHeader w:val="true"/>
        </w:trPr>
        <w:tc>
          <w:tcPr>
            <w:tcW w:w="14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Métrica</w:t>
            </w:r>
          </w:p>
        </w:tc>
        <w:tc>
          <w:tcPr>
            <w:tcW w:w="34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Fenotipo A (Agresivo)</w:t>
            </w:r>
          </w:p>
        </w:tc>
        <w:tc>
          <w:tcPr>
            <w:tcW w:w="30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Fenotipo B (Basal)</w:t>
            </w:r>
          </w:p>
        </w:tc>
        <w:tc>
          <w:tcPr>
            <w:tcW w:w="14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p-valor</w:t>
            </w:r>
          </w:p>
        </w:tc>
      </w:tr>
      <w:tr>
        <w:trPr/>
        <w:tc>
          <w:tcPr>
            <w:tcW w:w="14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onset_age (mediana del 5% TUMORAL)</w:t>
            </w:r>
          </w:p>
        </w:tc>
        <w:tc>
          <w:tcPr>
            <w:tcW w:w="34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43.7 ± 1.5 años</w:t>
            </w:r>
          </w:p>
        </w:tc>
        <w:tc>
          <w:tcPr>
            <w:tcW w:w="30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43.5 ± 1.4 años</w:t>
            </w:r>
          </w:p>
        </w:tc>
        <w:tc>
          <w:tcPr>
            <w:tcW w:w="14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0.25 ❌</w:t>
            </w:r>
          </w:p>
        </w:tc>
      </w:tr>
      <w:tr>
        <w:trPr/>
        <w:tc>
          <w:tcPr>
            <w:tcW w:w="14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sat50 (50% de células tumorales)</w:t>
            </w:r>
          </w:p>
        </w:tc>
        <w:tc>
          <w:tcPr>
            <w:tcW w:w="34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56.5 ± 1.9 años</w:t>
            </w:r>
          </w:p>
        </w:tc>
        <w:tc>
          <w:tcPr>
            <w:tcW w:w="30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59.3 ± 2.3 años</w:t>
            </w:r>
          </w:p>
        </w:tc>
        <w:tc>
          <w:tcPr>
            <w:tcW w:w="142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&lt;0.001 ✅</w:t>
            </w:r>
          </w:p>
        </w:tc>
      </w:tr>
    </w:tbl>
    <w:p>
      <w:pPr>
        <w:pStyle w:val="BodyText"/>
        <w:rPr/>
      </w:pPr>
      <w:r>
        <w:rPr>
          <w:b/>
          <w:bCs/>
        </w:rPr>
        <w:t>Interpretación:</w:t>
      </w:r>
      <w:r>
        <w:rPr/>
        <w:t xml:space="preserve"> la barrera apoptótica (δ_low) controla la </w:t>
      </w:r>
      <w:r>
        <w:rPr>
          <w:b/>
          <w:bCs/>
        </w:rPr>
        <w:t>velocidad de expansión clonal</w:t>
      </w:r>
      <w:r>
        <w:rPr/>
        <w:t xml:space="preserve">, no el momento de iniciación. Ambos fenotipos “arrancan” a la misma edad (onset indistinguible), pero el Fenotipo A alcanza el 50% de saturación tisular </w:t>
      </w:r>
      <w:r>
        <w:rPr>
          <w:b/>
          <w:bCs/>
        </w:rPr>
        <w:t>~3 años antes</w:t>
      </w:r>
      <w:r>
        <w:rPr/>
        <w:t>. El sat50 es la métrica correcta para distinguir agresividad entre subtipos.</w:t>
      </w:r>
    </w:p>
    <w:p>
      <w:pPr>
        <w:pStyle w:val="BodyText"/>
        <w:rPr/>
      </w:pPr>
      <w:r>
        <w:rPr/>
        <w:t>Esto es biológicamente coherente: δ_low modula la presión sobre células neoplásicas ya iniciadas, no el evento de iniciación en sí (que depende principalmente de β_BRCA1 y de los umbrales D1/D2).</w:t>
      </w:r>
    </w:p>
    <w:p>
      <w:pPr>
        <w:pStyle w:val="BodyText"/>
        <w:rPr/>
      </w:pPr>
      <w:r>
        <w:rPr>
          <w:i/>
          <w:iCs/>
        </w:rPr>
        <w:t xml:space="preserve">(Ver </w:t>
      </w:r>
      <w:r>
        <w:rPr>
          <w:b/>
          <w:bCs/>
          <w:i/>
          <w:iCs/>
        </w:rPr>
        <w:t>Figura 4</w:t>
      </w:r>
      <w:r>
        <w:rPr>
          <w:i/>
          <w:iCs/>
        </w:rPr>
        <w:t xml:space="preserve">: </w:t>
      </w:r>
      <w:r>
        <w:rPr>
          <w:rStyle w:val="VerbatimChar"/>
          <w:i/>
          <w:iCs/>
        </w:rPr>
        <w:t>gen4_aggressiveness.png</w:t>
      </w:r>
      <w:r>
        <w:rPr>
          <w:i/>
          <w:iCs/>
        </w:rPr>
        <w:t xml:space="preserve"> — violinplot onset_age vs. sat50 por fenotipo)</w:t>
      </w:r>
    </w:p>
    <w:p>
      <w:pPr>
        <w:pStyle w:val="BodyText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71800"/>
            <wp:effectExtent l="0" t="0" r="0" b="0"/>
            <wp:wrapSquare wrapText="largest"/>
            <wp:docPr id="1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bookmarkStart w:id="20" w:name="viii-agresividad-onset-vs.-saturac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0"/>
    </w:p>
    <w:p>
      <w:pPr>
        <w:pStyle w:val="Heading2"/>
        <w:rPr/>
      </w:pPr>
      <w:r>
        <w:rPr/>
        <w:t>(ix) Nota sobre δ_low y δ_high: interpretación mecanicista</w:t>
      </w:r>
    </w:p>
    <w:p>
      <w:pPr>
        <w:pStyle w:val="BlockText"/>
        <w:rPr/>
      </w:pPr>
      <w:commentRangeStart w:id="4"/>
      <w:r>
        <w:rPr>
          <w:b/>
          <w:bCs/>
        </w:rPr>
        <w:t>Hipótesis biológica:</w:t>
      </w:r>
      <w:r>
        <w:rPr/>
        <w:t xml:space="preserve"> δ_low controla la barrera de apoptosis celular intrínseca (vía BRCA1 heterocigota) y δ_high la vía extrínseca del sistema inmune tisular (estado homocigoto).</w:t>
      </w:r>
      <w:ins w:id="32" w:author="Autoría desconocida" w:date="2026-05-29T17:32:57Z">
        <w:commentRangeEnd w:id="4"/>
        <w:r>
          <w:commentReference w:id="4"/>
        </w:r>
        <w:r>
          <w:rPr/>
        </w:r>
      </w:ins>
    </w:p>
    <w:p>
      <w:pPr>
        <w:pStyle w:val="FirstParagraph"/>
        <w:rPr/>
      </w:pPr>
      <w:r>
        <w:rPr>
          <w:b/>
          <w:bCs/>
        </w:rPr>
        <w:t>Lo que dice el código</w:t>
      </w:r>
      <w:r>
        <w:rPr/>
        <w:t xml:space="preserve"> (</w:t>
      </w:r>
      <w:r>
        <w:rPr>
          <w:rStyle w:val="VerbatimChar"/>
        </w:rPr>
        <w:t>GenomicInstabilityDeltaStrategy.cpp</w:t>
      </w:r>
      <w:r>
        <w:rPr/>
        <w:t>):</w:t>
      </w:r>
    </w:p>
    <w:p>
      <w:pPr>
        <w:pStyle w:val="SourceCode"/>
        <w:rPr/>
      </w:pPr>
      <w:r>
        <w:rPr>
          <w:rStyle w:val="VerbatimChar"/>
        </w:rPr>
        <w:t>delta_d1 = delta_tp53 + age_factor              // D1: solo TP53</w:t>
      </w:r>
      <w:r>
        <w:rPr/>
        <w:br/>
      </w:r>
      <w:r>
        <w:rPr>
          <w:rStyle w:val="VerbatimChar"/>
        </w:rPr>
        <w:t>delta_d2 = delta_tp53 + delta_brca1 + age_factor // D2: TP53 + BRCA1</w:t>
      </w:r>
    </w:p>
    <w:p>
      <w:pPr>
        <w:pStyle w:val="FirstParagraph"/>
        <w:rPr/>
      </w:pPr>
      <w:r>
        <w:rPr/>
        <w:t xml:space="preserve">Los deltas son </w:t>
      </w:r>
      <w:r>
        <w:rPr>
          <w:b/>
          <w:bCs/>
        </w:rPr>
        <w:t>factores de escala por estado cigótico</w:t>
      </w:r>
      <w:r>
        <w:rPr/>
        <w:t>, no por vía de señalización: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Estado gen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δ aplicado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+/- (heterocigoto)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low_delta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-/- (homocigoto)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high_delta</w:t>
            </w:r>
          </w:p>
        </w:tc>
      </w:tr>
    </w:tbl>
    <w:p>
      <w:pPr>
        <w:pStyle w:val="BodyText"/>
        <w:rPr/>
      </w:pPr>
      <w:r>
        <w:rPr>
          <w:b/>
          <w:bCs/>
        </w:rPr>
        <w:t>Convergencia con la hipótesis:</w:t>
      </w:r>
      <w:r>
        <w:rPr/>
        <w:t xml:space="preserve"> En el contexto BRCA1 +/- germinal, D2 (inmunosupresión, vía extrínseca) es el acumulador dominante porque BRCA1 siempre contribuye a D2, mientras que D1 solo sube cuando TP53 muta (evento tardío). En la práctica: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δ_low captura el ritmo de la vía extrínseca</w:t>
      </w:r>
      <w:r>
        <w:rPr/>
        <w:t xml:space="preserve"> (BRCA1 +/- → D2) durante la mayor parte de la vida celular.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δ_high captura el salto</w:t>
      </w:r>
      <w:r>
        <w:rPr/>
        <w:t xml:space="preserve"> cuando BRCA1 pierde el segundo alelo (-/-), acelerando D2 × 2.</w:t>
      </w:r>
    </w:p>
    <w:p>
      <w:pPr>
        <w:pStyle w:val="FirstParagraph"/>
        <w:rPr/>
      </w:pPr>
      <w:r>
        <w:rPr/>
        <w:t xml:space="preserve">La distinción entre vías la establecen los umbrales (D1=2.0, D2=5.0) y los genes, no los deltas en sí. Los deltas son la </w:t>
      </w:r>
      <w:r>
        <w:rPr>
          <w:i/>
          <w:iCs/>
        </w:rPr>
        <w:t>velocidad del daño</w:t>
      </w:r>
      <w:r>
        <w:rPr/>
        <w:t xml:space="preserve">; los umbrales son las </w:t>
      </w:r>
      <w:r>
        <w:rPr>
          <w:i/>
          <w:iCs/>
        </w:rPr>
        <w:t>barreras de contención</w:t>
      </w:r>
      <w:r>
        <w:rPr/>
        <w:t>.</w:t>
      </w:r>
    </w:p>
    <w:p>
      <w:pPr>
        <w:pStyle w:val="Normal"/>
        <w:rPr/>
      </w:pPr>
      <w:bookmarkStart w:id="21" w:name="Xb113456e6b174b21c3eaf3df5118707ce99b9c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2"/>
        <w:rPr/>
      </w:pPr>
      <w:bookmarkStart w:id="22" w:name="resumen-del-proceso"/>
      <w:r>
        <w:rPr/>
        <w:t>Resumen del proceso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3380"/>
        <w:gridCol w:w="442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Fase</w:t>
            </w:r>
          </w:p>
        </w:tc>
        <w:tc>
          <w:tcPr>
            <w:tcW w:w="33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Descripción</w:t>
            </w:r>
          </w:p>
        </w:tc>
        <w:tc>
          <w:tcPr>
            <w:tcW w:w="44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Resultado clave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0</w:t>
            </w:r>
          </w:p>
        </w:tc>
        <w:tc>
          <w:tcPr>
            <w:tcW w:w="3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Muestreo del prior (rechazo ABC)</w:t>
            </w:r>
          </w:p>
        </w:tc>
        <w:tc>
          <w:tcPr>
            <w:tcW w:w="44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dist̄ = 13.50, ESS/N = 1.00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1</w:t>
            </w:r>
          </w:p>
        </w:tc>
        <w:tc>
          <w:tcPr>
            <w:tcW w:w="3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Primera refinamiento SMC (ε = 15.43)</w:t>
            </w:r>
          </w:p>
        </w:tc>
        <w:tc>
          <w:tcPr>
            <w:tcW w:w="44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dist̄ = 9.98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2</w:t>
            </w:r>
          </w:p>
        </w:tc>
        <w:tc>
          <w:tcPr>
            <w:tcW w:w="3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Segunda refinamiento (ε = 11.61)</w:t>
            </w:r>
          </w:p>
        </w:tc>
        <w:tc>
          <w:tcPr>
            <w:tcW w:w="44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dist̄ = 7.31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3</w:t>
            </w:r>
          </w:p>
        </w:tc>
        <w:tc>
          <w:tcPr>
            <w:tcW w:w="3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Tercera refinamiento (ε = 8.19)</w:t>
            </w:r>
          </w:p>
        </w:tc>
        <w:tc>
          <w:tcPr>
            <w:tcW w:w="44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dist̄ = 5.54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4</w:t>
            </w:r>
          </w:p>
        </w:tc>
        <w:tc>
          <w:tcPr>
            <w:tcW w:w="3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Posterior final (ε = 6.20)</w:t>
            </w:r>
          </w:p>
        </w:tc>
        <w:tc>
          <w:tcPr>
            <w:tcW w:w="44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dist̄ = 4.45,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fit perfecto a Kuchenbaecker</w:t>
            </w:r>
          </w:p>
        </w:tc>
      </w:tr>
    </w:tbl>
    <w:p>
      <w:pPr>
        <w:pStyle w:val="BodyText"/>
        <w:rPr/>
      </w:pPr>
      <w:r>
        <w:rPr>
          <w:b/>
          <w:bCs/>
        </w:rPr>
        <w:t>Posterior final (Gen 4):</w:t>
      </w:r>
    </w:p>
    <w:p>
      <w:pPr>
        <w:pStyle w:val="SourceCode"/>
        <w:rPr/>
      </w:pPr>
      <w:r>
        <w:rPr>
          <w:rStyle w:val="VerbatimChar"/>
        </w:rPr>
        <w:t>β_BRCA1  = 0.0445 ± 0.0041   [IC95: 0.0372–0.0526]</w:t>
      </w:r>
      <w:r>
        <w:rPr/>
        <w:br/>
      </w:r>
      <w:r>
        <w:rPr>
          <w:rStyle w:val="VerbatimChar"/>
        </w:rPr>
        <w:t>δ_low    = 0.1093 ± 0.0189   [IC95: 0.0836–0.1468]</w:t>
      </w:r>
      <w:r>
        <w:rPr/>
        <w:br/>
      </w:r>
      <w:r>
        <w:rPr>
          <w:rStyle w:val="VerbatimChar"/>
        </w:rPr>
        <w:t>δ_high   = 0.3504 ± 0.1258   [IC95: 0.1498–0.5914]  ← sloppy</w:t>
      </w:r>
      <w:r>
        <w:rPr/>
        <w:br/>
      </w:r>
      <w:r>
        <w:rPr>
          <w:rStyle w:val="VerbatimChar"/>
        </w:rPr>
        <w:t>ν        = 0.1564 ± 0.0410   [IC95: 0.1015–0.2300]</w:t>
      </w:r>
      <w:r>
        <w:rPr/>
        <w:br/>
        <w:br/>
      </w:r>
      <w:r>
        <w:rPr>
          <w:rStyle w:val="VerbatimChar"/>
        </w:rPr>
        <w:t>r(δ_low, ν) = −0.609  (p &lt; 10⁻²¹)   ← eje principal del gradiente</w:t>
      </w:r>
    </w:p>
    <w:p>
      <w:pPr>
        <w:pStyle w:val="FirstParagraph"/>
        <w:rPr/>
      </w:pPr>
      <w:r>
        <w:rPr>
          <w:b/>
          <w:bCs/>
        </w:rPr>
        <w:t>Dos subtipos identificados: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Fenotipo A (Agresivo):</w:t>
      </w:r>
      <w:r>
        <w:rPr/>
        <w:t xml:space="preserve"> δ_low = 0.096, ν = 0.191 — baja barrera apoptótica → crecimiento explosivo post-umbral; sat50 = 56.5 años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Fenotipo B (Basal):</w:t>
      </w:r>
      <w:r>
        <w:rPr/>
        <w:t xml:space="preserve"> δ_low = 0.117, ν = 0.129 — mayor presión selectiva → acumulación lenta inexorable; sat50 = 59.3 años</w:t>
      </w:r>
    </w:p>
    <w:p>
      <w:pPr>
        <w:pStyle w:val="FirstParagraph"/>
        <w:rPr/>
      </w:pPr>
      <w:r>
        <w:rPr/>
        <w:t xml:space="preserve">Ambos reproducen el timeline clínico de Kuchenbaecker (todos los puntos CDF dentro del IC 95%), lo que implica que la curva de penetrancia agregada es </w:t>
      </w:r>
      <w:r>
        <w:rPr>
          <w:b/>
          <w:bCs/>
        </w:rPr>
        <w:t>compatible con dos mecanismos de crecimiento subyacentes distintos</w:t>
      </w:r>
      <w:r>
        <w:rPr/>
        <w:t>, indistinguibles con datos de incidencia poblacional. La distinción emerge solo al observar la velocidad de saturación tisular (sat50, p&lt;0.001).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  <w:iCs/>
        </w:rPr>
        <w:t xml:space="preserve">Figuras: </w:t>
      </w:r>
      <w:r>
        <w:rPr>
          <w:rStyle w:val="VerbatimChar"/>
          <w:i/>
          <w:iCs/>
        </w:rPr>
        <w:t>docs/paper6/gen4_cdf_fit.png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gen4_pairwise.png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gen4_phenotypes.png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gen4_aggressiveness.png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gen4_posteriors.png</w:t>
      </w:r>
      <w:r>
        <w:rPr/>
        <w:t xml:space="preserve"> </w:t>
      </w:r>
      <w:r>
        <w:rPr>
          <w:i/>
          <w:iCs/>
        </w:rPr>
        <w:t xml:space="preserve">Datos: </w:t>
      </w:r>
      <w:r>
        <w:rPr>
          <w:rStyle w:val="VerbatimChar"/>
          <w:i/>
          <w:iCs/>
        </w:rPr>
        <w:t>results/abc_corrected_v1/gen_04.csv</w:t>
      </w:r>
      <w:r>
        <w:rPr/>
        <w:t xml:space="preserve"> </w:t>
      </w:r>
      <w:r>
        <w:rPr>
          <w:i/>
          <w:iCs/>
        </w:rPr>
        <w:t xml:space="preserve">Script: </w:t>
      </w:r>
      <w:r>
        <w:rPr>
          <w:rStyle w:val="VerbatimChar"/>
          <w:i/>
          <w:iCs/>
        </w:rPr>
        <w:t>scripts/abc_final_v4.py</w:t>
      </w:r>
      <w:bookmarkEnd w:id="0"/>
      <w:bookmarkEnd w:id="2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utoría desconocida" w:date="2026-05-29T17:12:33Z" w:initials=""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"/>
          <w:lang w:val="en-US" w:eastAsia="en-US" w:bidi="en-US"/>
        </w:rPr>
        <w:t>Experimentos anteriores indican que este valor presenta una elevada amplitud.</w:t>
      </w:r>
    </w:p>
  </w:comment>
  <w:comment w:id="1" w:author="Autoría desconocida" w:date="2026-05-29T17:13:25Z" w:initials=""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"/>
          <w:lang w:val="en-US" w:eastAsia="en-US" w:bidi="en-US"/>
        </w:rPr>
        <w:t>Hay que añadir una definición desde un punto de vista algorítmico junto a la matemática</w:t>
      </w:r>
    </w:p>
  </w:comment>
  <w:comment w:id="2" w:author="Autoría desconocida" w:date="2026-05-29T17:14:29Z" w:initials=""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"/>
          <w:lang w:val="en-US" w:eastAsia="en-US" w:bidi="en-US"/>
        </w:rPr>
        <w:t>Este alfa lo hemos definido de forma empírica. Un valor más estricto no genera suficientes candidatos para la siguiente generación.</w:t>
      </w:r>
    </w:p>
  </w:comment>
  <w:comment w:id="3" w:author="Autoría desconocida" w:date="2026-05-29T17:14:08Z" w:initials=""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"/>
          <w:lang w:val="en-US" w:eastAsia="en-US" w:bidi="en-US"/>
        </w:rPr>
        <w:t>Confirmar el número de métricas</w:t>
      </w:r>
    </w:p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"/>
          <w:lang w:val="en-US" w:eastAsia="en-US" w:bidi="en-US"/>
        </w:rPr>
      </w:r>
    </w:p>
  </w:comment>
  <w:comment w:id="4" w:author="Autoría desconocida" w:date="2026-05-29T17:32:57Z" w:initials="">
    <w:p>
      <w:pPr>
        <w:overflowPunct w:val="false"/>
        <w:spacing w:before="0" w:after="0"/>
        <w:rPr/>
      </w:pPr>
      <w:r>
        <w:rPr>
          <w:rFonts w:ascii="Liberation Serif" w:hAnsi="Liberation Serif" w:eastAsia="DejaVu Sans" w:cs="Noto Sans Arabic"/>
          <w:lang w:val="en-US" w:eastAsia="en-US" w:bidi="en-US"/>
        </w:rPr>
        <w:t>¿puedes explicarlo para tontos?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3"/>
    <w:lvlOverride w:ilvl="0">
      <w:startOverride w:val="1"/>
    </w:lvlOverride>
  </w:num>
  <w:num w:numId="16">
    <w:abstractNumId w:val="3"/>
  </w:num>
  <w:num w:numId="17">
    <w:abstractNumId w:val="3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</w:numbering>
</file>

<file path=word/settings.xml><?xml version="1.0" encoding="utf-8"?>
<w:settings xmlns:w="http://schemas.openxmlformats.org/wordprocessingml/2006/main">
  <w:zoom w:percent="100"/>
  <w:trackRevisions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LineNumber">
    <w:name w:val="Line Number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mentario">
    <w:name w:val="Comentario"/>
    <w:basedOn w:val="Normal"/>
    <w:qFormat/>
    <w:pPr/>
    <w:rPr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LibreOffice/24.2.7.2$Linux_X86_64 LibreOffice_project/420$Build-2</Application>
  <AppVersion>15.0000</AppVersion>
  <Pages>14</Pages>
  <Words>2379</Words>
  <Characters>13212</Characters>
  <CharactersWithSpaces>15334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2026-05-28T14:54:02Z</dcterms:created>
  <dc:creator/>
  <dc:description/>
  <dc:language>es-ES</dc:language>
  <cp:lastModifiedBy/>
  <dcterms:modified xsi:type="dcterms:W3CDTF">2026-05-29T17:33:06Z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