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4.png" ContentType="image/png"/>
  <Override PartName="/word/media/image3.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d571cce884c388a2482b253aa7c456725f0364"/>
    <w:p>
      <w:pPr>
        <w:pStyle w:val="Heading1"/>
      </w:pPr>
      <w:r>
        <w:t xml:space="preserve">CellSim: Calibración ABC-SMC e identificación de subtipos tumorales</w:t>
      </w:r>
    </w:p>
    <w:p>
      <w:pPr>
        <w:pStyle w:val="FirstParagraph"/>
      </w:pPr>
      <w:r>
        <w:rPr>
          <w:iCs/>
          <w:i/>
        </w:rPr>
        <w:t xml:space="preserve">Documento interno de trabajo 6 — revisión 2 (gen4 corregido) + respuestas a anotaciones</w:t>
      </w:r>
    </w:p>
    <w:p>
      <w:pPr>
        <w:pStyle w:val="BlockText"/>
      </w:pPr>
      <w:r>
        <w:t xml:space="preserve">Este documento asume familiaridad con el modelo CellSim (arquitectura, ciclo de vida celular, estados genéticos BRCA1/TP53, acumuladores D1/D2). Ver</w:t>
      </w:r>
      <w:r>
        <w:t xml:space="preserve"> </w:t>
      </w:r>
      <w:r>
        <w:rPr>
          <w:bCs/>
          <w:b/>
        </w:rPr>
        <w:t xml:space="preserve">documento 3</w:t>
      </w:r>
      <w:r>
        <w:t xml:space="preserve"> </w:t>
      </w:r>
      <w:r>
        <w:t xml:space="preserve">para la descripción completa del modelo y el proceso de calibración bootstrap inicial.</w:t>
      </w:r>
    </w:p>
    <w:p>
      <w:r>
        <w:pict>
          <v:rect style="width:0;height:1.5pt" o:hralign="center" o:hrstd="t" o:hr="t"/>
        </w:pict>
      </w:r>
    </w:p>
    <w:bookmarkStart w:id="23" w:name="i-premisa-de-parámetros-fijos"/>
    <w:p>
      <w:pPr>
        <w:pStyle w:val="Heading2"/>
      </w:pPr>
      <w:r>
        <w:t xml:space="preserve">(i) Premisa de parámetros fijos</w:t>
      </w:r>
    </w:p>
    <w:p>
      <w:pPr>
        <w:pStyle w:val="FirstParagraph"/>
      </w:pPr>
      <w:r>
        <w:t xml:space="preserve">La calibración ABC-SMC trabaja con</w:t>
      </w:r>
      <w:r>
        <w:t xml:space="preserve"> </w:t>
      </w:r>
      <w:r>
        <w:rPr>
          <w:bCs/>
          <w:b/>
        </w:rPr>
        <w:t xml:space="preserve">cuatro parámetros libres</w:t>
      </w:r>
      <w:r>
        <w:t xml:space="preserve"> </w:t>
      </w:r>
      <w:r>
        <w:t xml:space="preserve">y</w:t>
      </w:r>
      <w:r>
        <w:t xml:space="preserve"> </w:t>
      </w:r>
      <w:r>
        <w:rPr>
          <w:bCs/>
          <w:b/>
        </w:rPr>
        <w:t xml:space="preserve">tres fijos</w:t>
      </w:r>
      <w:r>
        <w:t xml:space="preserve">. La justificación para fijar estos últimos es tanto biológica como metodológica: con más parámetros libres simultáneos el espacio posterior se vuelve no identificable en la práctica.</w:t>
      </w:r>
    </w:p>
    <w:bookmarkStart w:id="20" w:name="tp53-como-ancla-del-modelo"/>
    <w:p>
      <w:pPr>
        <w:pStyle w:val="Heading3"/>
      </w:pPr>
      <w:r>
        <w:t xml:space="preserve">TP53 como ancla del modelo</w:t>
      </w:r>
    </w:p>
    <w:p>
      <w:pPr>
        <w:pStyle w:val="FirstParagraph"/>
      </w:pPr>
      <w:r>
        <w:rPr>
          <w:rStyle w:val="VerbatimChar"/>
        </w:rPr>
        <w:t xml:space="preserve">tp53_rate = 0.003</w:t>
      </w:r>
      <w:r>
        <w:t xml:space="preserve"> </w:t>
      </w:r>
      <w:r>
        <w:t xml:space="preserve">se fija como la tasa base de mutación de TP53 por tick.</w:t>
      </w:r>
    </w:p>
    <w:p>
      <w:pPr>
        <w:pStyle w:val="BodyText"/>
      </w:pPr>
      <w:r>
        <w:t xml:space="preserve">TP53 es el</w:t>
      </w:r>
      <w:r>
        <w:t xml:space="preserve"> </w:t>
      </w:r>
      <w:r>
        <w:t xml:space="preserve">“</w:t>
      </w:r>
      <w:r>
        <w:t xml:space="preserve">guardián del genoma</w:t>
      </w:r>
      <w:r>
        <w:t xml:space="preserve">”</w:t>
      </w:r>
      <w:r>
        <w:t xml:space="preserve">: en el ciclo de vida de CellSim gobierna la</w:t>
      </w:r>
      <w:r>
        <w:t xml:space="preserve"> </w:t>
      </w:r>
      <w:r>
        <w:rPr>
          <w:bCs/>
          <w:b/>
        </w:rPr>
        <w:t xml:space="preserve">apoptosis intrínseca</w:t>
      </w:r>
      <w:r>
        <w:t xml:space="preserve"> </w:t>
      </w:r>
      <w:r>
        <w:t xml:space="preserve">(Fase 2 de</w:t>
      </w:r>
      <w:r>
        <w:t xml:space="preserve"> </w:t>
      </w:r>
      <w:r>
        <w:rPr>
          <w:rStyle w:val="VerbatimChar"/>
        </w:rPr>
        <w:t xml:space="preserve">AgenticCell::live()</w:t>
      </w:r>
      <w:r>
        <w:t xml:space="preserve">), evaluada antes que cualquier otra decisión de destino celular. Este orden no es arbitrario — refleja la jerarquía biológica real: la eliminación p53-mediada precede a la vigilancia inmune y a la progresión neoplásica.</w:t>
      </w:r>
    </w:p>
    <w:p>
      <w:pPr>
        <w:pStyle w:val="BodyText"/>
      </w:pPr>
      <w:r>
        <w:t xml:space="preserve">El documento 3 (Sección vi) mostró que</w:t>
      </w:r>
      <w:r>
        <w:t xml:space="preserve"> </w:t>
      </w:r>
      <w:r>
        <w:rPr>
          <w:rStyle w:val="VerbatimChar"/>
        </w:rPr>
        <w:t xml:space="preserve">tp53_rate</w:t>
      </w:r>
      <w:r>
        <w:t xml:space="preserve"> </w:t>
      </w:r>
      <w:r>
        <w:t xml:space="preserve">se comporta como un</w:t>
      </w:r>
      <w:r>
        <w:t xml:space="preserve"> </w:t>
      </w:r>
      <w:r>
        <w:rPr>
          <w:bCs/>
          <w:b/>
        </w:rPr>
        <w:t xml:space="preserve">interruptor</w:t>
      </w:r>
      <w:r>
        <w:t xml:space="preserve">, no como un dial continuo: valores por encima de 0.003 destruyen la no-penetrancia del 30% que reproduce el dato clínico. Fijarlo libera los parámetros delta y brca1_rate para absorber la varianza biológicamente relevante. Dejamos pendiente una revisión del valor original post-parametrización.</w:t>
      </w:r>
    </w:p>
    <w:p>
      <w:pPr>
        <w:pStyle w:val="BlockText"/>
      </w:pPr>
      <w:r>
        <w:rPr>
          <w:bCs/>
          <w:b/>
        </w:rPr>
        <w:t xml:space="preserve">[Anotación]</w:t>
      </w:r>
      <w:r>
        <w:t xml:space="preserve"> </w:t>
      </w:r>
      <w:r>
        <w:rPr>
          <w:iCs/>
          <w:i/>
        </w:rPr>
        <w:t xml:space="preserve">Dejamos pendiente una revisión del valor original post-parametrización.</w:t>
      </w:r>
    </w:p>
    <w:p>
      <w:pPr>
        <w:pStyle w:val="BlockText"/>
      </w:pPr>
      <w:r>
        <w:rPr>
          <w:bCs/>
          <w:b/>
        </w:rPr>
        <w:t xml:space="preserve">[Respuesta]</w:t>
      </w:r>
      <w:r>
        <w:t xml:space="preserve"> </w:t>
      </w:r>
      <w:r>
        <w:t xml:space="preserve">La revisión ya está implícitamente cerrada por el barrido de tp53_rate (doc 3, sec vi): el valor 0.003 es el óptimo global, confirmado con granularidad 0.0005. Cualquier valor superior destruye la no-penetrancia (~30% de tejidos que no desarrollan tumor), que es el rasgo clínico más relevante de Kuchenbaecker.</w:t>
      </w:r>
      <w:r>
        <w:t xml:space="preserve"> </w:t>
      </w:r>
      <w:r>
        <w:rPr>
          <w:bCs/>
          <w:b/>
        </w:rPr>
        <w:t xml:space="preserve">Propuesta de redacción:</w:t>
      </w:r>
      <w:r>
        <w:t xml:space="preserve"> </w:t>
      </w:r>
      <w:r>
        <w:t xml:space="preserve">eliminar esta frase o sustituirla por</w:t>
      </w:r>
      <w:r>
        <w:t xml:space="preserve"> </w:t>
      </w:r>
      <w:r>
        <w:t xml:space="preserve">“</w:t>
      </w:r>
      <w:r>
        <w:t xml:space="preserve">El barrido paramétrico (doc 3, sec vi) confirma 0.003 como óptimo global — no se requiere revisión posterior.</w:t>
      </w:r>
      <w:r>
        <w:t xml:space="preserve">”</w:t>
      </w:r>
    </w:p>
    <w:bookmarkEnd w:id="20"/>
    <w:bookmarkStart w:id="21" w:name="umbrales-de-acumulación-de-daño"/>
    <w:p>
      <w:pPr>
        <w:pStyle w:val="Heading3"/>
      </w:pPr>
      <w:r>
        <w:t xml:space="preserve">Umbrales de acumulación de daño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Parámetro</w:t>
            </w:r>
          </w:p>
        </w:tc>
        <w:tc>
          <w:tcPr/>
          <w:p>
            <w:pPr>
              <w:pStyle w:val="Compact"/>
              <w:jc w:val="left"/>
            </w:pPr>
            <w:r>
              <w:t xml:space="preserve">Valor</w:t>
            </w:r>
          </w:p>
        </w:tc>
        <w:tc>
          <w:tcPr/>
          <w:p>
            <w:pPr>
              <w:pStyle w:val="Compact"/>
              <w:jc w:val="left"/>
            </w:pPr>
            <w:r>
              <w:t xml:space="preserve">Interpretación</w:t>
            </w:r>
          </w:p>
        </w:tc>
      </w:tr>
      <w:tr>
        <w:tc>
          <w:tcPr/>
          <w:p>
            <w:pPr>
              <w:pStyle w:val="Compact"/>
              <w:jc w:val="left"/>
            </w:pPr>
            <w:r>
              <w:rPr>
                <w:rStyle w:val="VerbatimChar"/>
              </w:rPr>
              <w:t xml:space="preserve">d1_threshold</w:t>
            </w:r>
          </w:p>
        </w:tc>
        <w:tc>
          <w:tcPr/>
          <w:p>
            <w:pPr>
              <w:pStyle w:val="Compact"/>
              <w:jc w:val="left"/>
            </w:pPr>
            <w:r>
              <w:t xml:space="preserve">2.0</w:t>
            </w:r>
          </w:p>
        </w:tc>
        <w:tc>
          <w:tcPr/>
          <w:p>
            <w:pPr>
              <w:pStyle w:val="Compact"/>
              <w:jc w:val="left"/>
            </w:pPr>
            <w:r>
              <w:t xml:space="preserve">D1 ≥ 2.0 activa PRIMER (bajo TP53 −/−)</w:t>
            </w:r>
          </w:p>
        </w:tc>
      </w:tr>
      <w:tr>
        <w:tc>
          <w:tcPr/>
          <w:p>
            <w:pPr>
              <w:pStyle w:val="Compact"/>
              <w:jc w:val="left"/>
            </w:pPr>
            <w:r>
              <w:rPr>
                <w:rStyle w:val="VerbatimChar"/>
              </w:rPr>
              <w:t xml:space="preserve">d2_threshold</w:t>
            </w:r>
          </w:p>
        </w:tc>
        <w:tc>
          <w:tcPr/>
          <w:p>
            <w:pPr>
              <w:pStyle w:val="Compact"/>
              <w:jc w:val="left"/>
            </w:pPr>
            <w:r>
              <w:t xml:space="preserve">5.0</w:t>
            </w:r>
          </w:p>
        </w:tc>
        <w:tc>
          <w:tcPr/>
          <w:p>
            <w:pPr>
              <w:pStyle w:val="Compact"/>
              <w:jc w:val="left"/>
            </w:pPr>
            <w:r>
              <w:t xml:space="preserve">D2 ≥ 5.0 activa evasión inmune (TUMORAL)</w:t>
            </w:r>
          </w:p>
        </w:tc>
      </w:tr>
    </w:tbl>
    <w:p>
      <w:pPr>
        <w:pStyle w:val="BodyText"/>
      </w:pPr>
      <w:r>
        <w:t xml:space="preserve">La asimetría θ_D1 &lt; θ_D2 codifica una realidad biológica fundamental: la inestabilidad genómica se inicia rápidamente, pero la evasión inmune sostenida requiere una acumulación mucho mayor. Estos parámetros son puntos de corte automáticos</w:t>
      </w:r>
      <w:r>
        <w:t xml:space="preserve"> </w:t>
      </w:r>
      <w:r>
        <w:t xml:space="preserve">“</w:t>
      </w:r>
      <w:r>
        <w:t xml:space="preserve">sin magnitud</w:t>
      </w:r>
      <w:r>
        <w:t xml:space="preserve">”</w:t>
      </w:r>
      <w:r>
        <w:t xml:space="preserve">, por lo que se definen de forma arbitraria en esta fase inicial del experimento. Más adelante cabe la posibilidad de evaluar su modificación.</w:t>
      </w:r>
    </w:p>
    <w:p>
      <w:pPr>
        <w:pStyle w:val="BlockText"/>
      </w:pPr>
      <w:r>
        <w:rPr>
          <w:bCs/>
          <w:b/>
        </w:rPr>
        <w:t xml:space="preserve">[Anotación]</w:t>
      </w:r>
      <w:r>
        <w:t xml:space="preserve"> </w:t>
      </w:r>
      <w:r>
        <w:rPr>
          <w:iCs/>
          <w:i/>
        </w:rPr>
        <w:t xml:space="preserve">Estos parámetros son puntos de corte automáticos</w:t>
      </w:r>
      <w:r>
        <w:rPr>
          <w:iCs/>
          <w:i/>
        </w:rPr>
        <w:t xml:space="preserve"> </w:t>
      </w:r>
      <w:r>
        <w:rPr>
          <w:iCs/>
          <w:i/>
        </w:rPr>
        <w:t xml:space="preserve">“</w:t>
      </w:r>
      <w:r>
        <w:rPr>
          <w:iCs/>
          <w:i/>
        </w:rPr>
        <w:t xml:space="preserve">y sin magnitud</w:t>
      </w:r>
      <w:r>
        <w:rPr>
          <w:iCs/>
          <w:i/>
        </w:rPr>
        <w:t xml:space="preserve">”</w:t>
      </w:r>
      <w:r>
        <w:rPr>
          <w:iCs/>
          <w:i/>
        </w:rPr>
        <w:t xml:space="preserve">, por lo que se decide definirlos de forma arbitraria en esta fase inicial del experimento. Más adelante cabe la posibilidad de evaluar su modificación.</w:t>
      </w:r>
    </w:p>
    <w:p>
      <w:pPr>
        <w:pStyle w:val="BlockText"/>
      </w:pPr>
      <w:r>
        <w:rPr>
          <w:bCs/>
          <w:b/>
        </w:rPr>
        <w:t xml:space="preserve">[Respuesta]</w:t>
      </w:r>
      <w:r>
        <w:t xml:space="preserve"> </w:t>
      </w:r>
      <w:r>
        <w:t xml:space="preserve">Parcialmente de acuerdo. Los valores 2.0 y 5.0 son en efecto adimensionales y su escala absoluta no tiene correspondencia directa con ninguna medida experimental. Sin embargo, la</w:t>
      </w:r>
      <w:r>
        <w:t xml:space="preserve"> </w:t>
      </w:r>
      <w:r>
        <w:rPr>
          <w:bCs/>
          <w:b/>
        </w:rPr>
        <w:t xml:space="preserve">ratio D2/D1 = 2.5</w:t>
      </w:r>
      <w:r>
        <w:t xml:space="preserve"> </w:t>
      </w:r>
      <w:r>
        <w:t xml:space="preserve">no es completamente arbitraria: codifica que alcanzar la evasión inmune (D2=5.0) requiere 2.5× más acumulación de daño que la inestabilidad inicial (D1=2.0), lo que es coherente con la biología del microambiente tumoral. Un análisis de sensibilidad sobre estos umbrales (manteniendo la ratio fija vs. variándola independientemente) sería un experimento futuro valioso. Lo más importante es que estos umbrales</w:t>
      </w:r>
      <w:r>
        <w:t xml:space="preserve"> </w:t>
      </w:r>
      <w:r>
        <w:rPr>
          <w:bCs/>
          <w:b/>
        </w:rPr>
        <w:t xml:space="preserve">solo modulan la velocidad relativa</w:t>
      </w:r>
      <w:r>
        <w:t xml:space="preserve"> </w:t>
      </w:r>
      <w:r>
        <w:t xml:space="preserve">de las transiciones PRIMER→TUMORAL, no el hecho de que ocurran — el onset cualitativo es robusto a variaciones razonables de estos valores.</w:t>
      </w:r>
    </w:p>
    <w:bookmarkEnd w:id="21"/>
    <w:bookmarkStart w:id="22" w:name="resumen-parámetros-fijos-vs.-libres"/>
    <w:p>
      <w:pPr>
        <w:pStyle w:val="Heading3"/>
      </w:pPr>
      <w:r>
        <w:t xml:space="preserve">Resumen: parámetros fijos vs. libres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Parámetro</w:t>
            </w:r>
          </w:p>
        </w:tc>
        <w:tc>
          <w:tcPr/>
          <w:p>
            <w:pPr>
              <w:pStyle w:val="Compact"/>
              <w:jc w:val="left"/>
            </w:pPr>
            <w:r>
              <w:t xml:space="preserve">Estado</w:t>
            </w:r>
          </w:p>
        </w:tc>
        <w:tc>
          <w:tcPr/>
          <w:p>
            <w:pPr>
              <w:pStyle w:val="Compact"/>
              <w:jc w:val="left"/>
            </w:pPr>
            <w:r>
              <w:t xml:space="preserve">Valor / Prior</w:t>
            </w:r>
          </w:p>
        </w:tc>
      </w:tr>
      <w:tr>
        <w:tc>
          <w:tcPr/>
          <w:p>
            <w:pPr>
              <w:pStyle w:val="Compact"/>
              <w:jc w:val="left"/>
            </w:pPr>
            <w:r>
              <w:rPr>
                <w:rStyle w:val="VerbatimChar"/>
              </w:rPr>
              <w:t xml:space="preserve">tp53_rate</w:t>
            </w:r>
          </w:p>
        </w:tc>
        <w:tc>
          <w:tcPr/>
          <w:p>
            <w:pPr>
              <w:pStyle w:val="Compact"/>
              <w:jc w:val="left"/>
            </w:pPr>
            <w:r>
              <w:rPr>
                <w:bCs/>
                <w:b/>
              </w:rPr>
              <w:t xml:space="preserve">Fijo</w:t>
            </w:r>
          </w:p>
        </w:tc>
        <w:tc>
          <w:tcPr/>
          <w:p>
            <w:pPr>
              <w:pStyle w:val="Compact"/>
              <w:jc w:val="left"/>
            </w:pPr>
            <w:r>
              <w:t xml:space="preserve">0.003</w:t>
            </w:r>
          </w:p>
        </w:tc>
      </w:tr>
      <w:tr>
        <w:tc>
          <w:tcPr/>
          <w:p>
            <w:pPr>
              <w:pStyle w:val="Compact"/>
              <w:jc w:val="left"/>
            </w:pPr>
            <w:r>
              <w:rPr>
                <w:rStyle w:val="VerbatimChar"/>
              </w:rPr>
              <w:t xml:space="preserve">d1_threshold</w:t>
            </w:r>
          </w:p>
        </w:tc>
        <w:tc>
          <w:tcPr/>
          <w:p>
            <w:pPr>
              <w:pStyle w:val="Compact"/>
              <w:jc w:val="left"/>
            </w:pPr>
            <w:r>
              <w:rPr>
                <w:bCs/>
                <w:b/>
              </w:rPr>
              <w:t xml:space="preserve">Fijo</w:t>
            </w:r>
          </w:p>
        </w:tc>
        <w:tc>
          <w:tcPr/>
          <w:p>
            <w:pPr>
              <w:pStyle w:val="Compact"/>
              <w:jc w:val="left"/>
            </w:pPr>
            <w:r>
              <w:t xml:space="preserve">2.0</w:t>
            </w:r>
          </w:p>
        </w:tc>
      </w:tr>
      <w:tr>
        <w:tc>
          <w:tcPr/>
          <w:p>
            <w:pPr>
              <w:pStyle w:val="Compact"/>
              <w:jc w:val="left"/>
            </w:pPr>
            <w:r>
              <w:rPr>
                <w:rStyle w:val="VerbatimChar"/>
              </w:rPr>
              <w:t xml:space="preserve">d2_threshold</w:t>
            </w:r>
          </w:p>
        </w:tc>
        <w:tc>
          <w:tcPr/>
          <w:p>
            <w:pPr>
              <w:pStyle w:val="Compact"/>
              <w:jc w:val="left"/>
            </w:pPr>
            <w:r>
              <w:rPr>
                <w:bCs/>
                <w:b/>
              </w:rPr>
              <w:t xml:space="preserve">Fijo</w:t>
            </w:r>
          </w:p>
        </w:tc>
        <w:tc>
          <w:tcPr/>
          <w:p>
            <w:pPr>
              <w:pStyle w:val="Compact"/>
              <w:jc w:val="left"/>
            </w:pPr>
            <w:r>
              <w:t xml:space="preserve">5.0</w:t>
            </w:r>
          </w:p>
        </w:tc>
      </w:tr>
      <w:tr>
        <w:tc>
          <w:tcPr/>
          <w:p>
            <w:pPr>
              <w:pStyle w:val="Compact"/>
              <w:jc w:val="left"/>
            </w:pPr>
            <w:r>
              <w:rPr>
                <w:rStyle w:val="VerbatimChar"/>
              </w:rPr>
              <w:t xml:space="preserve">brca1_rate</w:t>
            </w:r>
            <w:r>
              <w:t xml:space="preserve"> </w:t>
            </w:r>
            <w:r>
              <w:t xml:space="preserve">(β)</w:t>
            </w:r>
          </w:p>
        </w:tc>
        <w:tc>
          <w:tcPr/>
          <w:p>
            <w:pPr>
              <w:pStyle w:val="Compact"/>
              <w:jc w:val="left"/>
            </w:pPr>
            <w:r>
              <w:t xml:space="preserve">Libre</w:t>
            </w:r>
          </w:p>
        </w:tc>
        <w:tc>
          <w:tcPr/>
          <w:p>
            <w:pPr>
              <w:pStyle w:val="Compact"/>
              <w:jc w:val="left"/>
            </w:pPr>
            <w:r>
              <w:t xml:space="preserve">U[0.025, 0.080]</w:t>
            </w:r>
          </w:p>
        </w:tc>
      </w:tr>
      <w:tr>
        <w:tc>
          <w:tcPr/>
          <w:p>
            <w:pPr>
              <w:pStyle w:val="Compact"/>
              <w:jc w:val="left"/>
            </w:pPr>
            <w:r>
              <w:rPr>
                <w:rStyle w:val="VerbatimChar"/>
              </w:rPr>
              <w:t xml:space="preserve">low_delta</w:t>
            </w:r>
            <w:r>
              <w:t xml:space="preserve"> </w:t>
            </w:r>
            <w:r>
              <w:t xml:space="preserve">(δ_low)</w:t>
            </w:r>
          </w:p>
        </w:tc>
        <w:tc>
          <w:tcPr/>
          <w:p>
            <w:pPr>
              <w:pStyle w:val="Compact"/>
              <w:jc w:val="left"/>
            </w:pPr>
            <w:r>
              <w:t xml:space="preserve">Libre</w:t>
            </w:r>
          </w:p>
        </w:tc>
        <w:tc>
          <w:tcPr/>
          <w:p>
            <w:pPr>
              <w:pStyle w:val="Compact"/>
              <w:jc w:val="left"/>
            </w:pPr>
            <w:r>
              <w:t xml:space="preserve">U[0.060, 0.220]</w:t>
            </w:r>
          </w:p>
        </w:tc>
      </w:tr>
      <w:tr>
        <w:tc>
          <w:tcPr/>
          <w:p>
            <w:pPr>
              <w:pStyle w:val="Compact"/>
              <w:jc w:val="left"/>
            </w:pPr>
            <w:r>
              <w:rPr>
                <w:rStyle w:val="VerbatimChar"/>
              </w:rPr>
              <w:t xml:space="preserve">high_delta</w:t>
            </w:r>
            <w:r>
              <w:t xml:space="preserve"> </w:t>
            </w:r>
            <w:r>
              <w:t xml:space="preserve">(δ_high)</w:t>
            </w:r>
          </w:p>
        </w:tc>
        <w:tc>
          <w:tcPr/>
          <w:p>
            <w:pPr>
              <w:pStyle w:val="Compact"/>
              <w:jc w:val="left"/>
            </w:pPr>
            <w:r>
              <w:t xml:space="preserve">Libre</w:t>
            </w:r>
          </w:p>
        </w:tc>
        <w:tc>
          <w:tcPr/>
          <w:p>
            <w:pPr>
              <w:pStyle w:val="Compact"/>
              <w:jc w:val="left"/>
            </w:pPr>
            <w:r>
              <w:t xml:space="preserve">U[0.120, 0.600]</w:t>
            </w:r>
          </w:p>
        </w:tc>
      </w:tr>
      <w:tr>
        <w:tc>
          <w:tcPr/>
          <w:p>
            <w:pPr>
              <w:pStyle w:val="Compact"/>
              <w:jc w:val="left"/>
            </w:pPr>
            <w:r>
              <w:rPr>
                <w:rStyle w:val="VerbatimChar"/>
              </w:rPr>
              <w:t xml:space="preserve">neoplastic_div_rate</w:t>
            </w:r>
            <w:r>
              <w:t xml:space="preserve"> </w:t>
            </w:r>
            <w:r>
              <w:t xml:space="preserve">(ν)</w:t>
            </w:r>
          </w:p>
        </w:tc>
        <w:tc>
          <w:tcPr/>
          <w:p>
            <w:pPr>
              <w:pStyle w:val="Compact"/>
              <w:jc w:val="left"/>
            </w:pPr>
            <w:r>
              <w:t xml:space="preserve">Libre</w:t>
            </w:r>
          </w:p>
        </w:tc>
        <w:tc>
          <w:tcPr/>
          <w:p>
            <w:pPr>
              <w:pStyle w:val="Compact"/>
              <w:jc w:val="left"/>
            </w:pPr>
            <w:r>
              <w:t xml:space="preserve">U[0.100, 0.240]</w:t>
            </w:r>
          </w:p>
        </w:tc>
      </w:tr>
    </w:tbl>
    <w:p>
      <w:pPr>
        <w:pStyle w:val="BodyText"/>
      </w:pPr>
      <w:r>
        <w:t xml:space="preserve">Restricción biológica dura: δ_high &gt; δ_low.</w:t>
      </w:r>
    </w:p>
    <w:p>
      <w:pPr>
        <w:pStyle w:val="BodyText"/>
      </w:pPr>
      <w:r>
        <w:t xml:space="preserve">Los priors se anclaron empíricamente en los resultados del barrido en rejilla fino (documento 3,</w:t>
      </w:r>
      <w:r>
        <w:t xml:space="preserve"> </w:t>
      </w:r>
      <w:r>
        <w:rPr>
          <w:rStyle w:val="VerbatimChar"/>
        </w:rPr>
        <w:t xml:space="preserve">results_sweep_p4_fine.csv</w:t>
      </w:r>
      <w:r>
        <w:t xml:space="preserve">), con el óptimo identificado en brca1_rate=0.050, δ_low=0.14, δ_high=0.28 (SSE=5.65).</w:t>
      </w:r>
    </w:p>
    <w:p>
      <w:r>
        <w:pict>
          <v:rect style="width:0;height:1.5pt" o:hralign="center" o:hrstd="t" o:hr="t"/>
        </w:pict>
      </w:r>
    </w:p>
    <w:bookmarkEnd w:id="22"/>
    <w:bookmarkEnd w:id="23"/>
    <w:bookmarkStart w:id="26" w:name="ii-el-algoritmo-abc-smc"/>
    <w:p>
      <w:pPr>
        <w:pStyle w:val="Heading2"/>
      </w:pPr>
      <w:r>
        <w:t xml:space="preserve">(ii) El algoritmo ABC-SMC</w:t>
      </w:r>
    </w:p>
    <w:p>
      <w:pPr>
        <w:pStyle w:val="FirstParagraph"/>
      </w:pPr>
      <w:r>
        <w:rPr>
          <w:iCs/>
          <w:i/>
        </w:rPr>
        <w:t xml:space="preserve">(Sin anotaciones — sin cambios respecto al original)</w:t>
      </w:r>
    </w:p>
    <w:bookmarkStart w:id="24" w:name="motivación-inferencia-sin-verosimilitud"/>
    <w:p>
      <w:pPr>
        <w:pStyle w:val="Heading3"/>
      </w:pPr>
      <w:r>
        <w:t xml:space="preserve">Motivación: inferencia sin verosimilitud</w:t>
      </w:r>
    </w:p>
    <w:p>
      <w:pPr>
        <w:pStyle w:val="FirstParagraph"/>
      </w:pPr>
      <w:r>
        <w:t xml:space="preserve">La inferencia bayesiana estándar requiere evaluar la verosimilitud p(D | θ) de los datos observados D dados los parámetros θ. Para CellSim esto es analíticamente intratable: el espacio de estados de 500 células interactuando durante décadas es combinatoriamente inmenso.</w:t>
      </w:r>
    </w:p>
    <w:p>
      <w:pPr>
        <w:pStyle w:val="BodyText"/>
      </w:pPr>
      <w:r>
        <w:rPr>
          <w:bCs/>
          <w:b/>
        </w:rPr>
        <w:t xml:space="preserve">ABC (Approximate Bayesian Computation)</w:t>
      </w:r>
      <w:r>
        <w:t xml:space="preserve"> </w:t>
      </w:r>
      <w:r>
        <w:t xml:space="preserve">reemplaza la evaluación de verosimilitud por comparación de simulaciones:</w:t>
      </w:r>
    </w:p>
    <w:p>
      <w:pPr>
        <w:numPr>
          <w:ilvl w:val="0"/>
          <w:numId w:val="1001"/>
        </w:numPr>
        <w:pStyle w:val="Compact"/>
      </w:pPr>
      <w:r>
        <w:t xml:space="preserve">Muestrea θ* del prior π(θ)</w:t>
      </w:r>
    </w:p>
    <w:p>
      <w:pPr>
        <w:numPr>
          <w:ilvl w:val="0"/>
          <w:numId w:val="1001"/>
        </w:numPr>
        <w:pStyle w:val="Compact"/>
      </w:pPr>
      <w:r>
        <w:t xml:space="preserve">Simula datos sintéticos D* ~ M(θ*)</w:t>
      </w:r>
    </w:p>
    <w:p>
      <w:pPr>
        <w:numPr>
          <w:ilvl w:val="0"/>
          <w:numId w:val="1001"/>
        </w:numPr>
        <w:pStyle w:val="Compact"/>
      </w:pPr>
      <w:r>
        <w:t xml:space="preserve">Acepta θ* como muestra posterior si ρ(D*, D) ≤ ε</w:t>
      </w:r>
    </w:p>
    <w:p>
      <w:pPr>
        <w:pStyle w:val="FirstParagraph"/>
      </w:pPr>
      <w:r>
        <w:t xml:space="preserve">El posterior aproximado resultante es:</w:t>
      </w:r>
    </w:p>
    <w:p>
      <w:pPr>
        <w:pStyle w:val="SourceCode"/>
      </w:pPr>
      <w:r>
        <w:rPr>
          <w:rStyle w:val="VerbatimChar"/>
        </w:rPr>
        <w:t xml:space="preserve">p_ε(θ | D) ∝ π(θ) · P[ρ(D*, D) ≤ ε | θ]</w:t>
      </w:r>
    </w:p>
    <w:p>
      <w:pPr>
        <w:pStyle w:val="FirstParagraph"/>
      </w:pPr>
      <w:r>
        <w:t xml:space="preserve">Cuando ε → 0, p_ε converge al posterior exacto.</w:t>
      </w:r>
    </w:p>
    <w:bookmarkEnd w:id="24"/>
    <w:bookmarkStart w:id="25" w:name="extensión-sequential-monte-carlo-smc"/>
    <w:p>
      <w:pPr>
        <w:pStyle w:val="Heading3"/>
      </w:pPr>
      <w:r>
        <w:t xml:space="preserve">Extensión Sequential Monte Carlo (SMC)</w:t>
      </w:r>
    </w:p>
    <w:p>
      <w:pPr>
        <w:pStyle w:val="FirstParagraph"/>
      </w:pPr>
      <w:r>
        <w:rPr>
          <w:bCs/>
          <w:b/>
        </w:rPr>
        <w:t xml:space="preserve">Toni et al. (2009)</w:t>
      </w:r>
      <w:r>
        <w:t xml:space="preserve"> </w:t>
      </w:r>
      <w:r>
        <w:t xml:space="preserve">introduce la extensión SMC, que construye una secuencia de distribuciones intermedias con calendario de tolerancias adaptativo (α = 0.6) y kernel Gaussiano con escala adaptativa σ_d^(t) = 2 · √(Var_d^(t-1)(θ)).</w:t>
      </w:r>
    </w:p>
    <w:p>
      <w:r>
        <w:pict>
          <v:rect style="width:0;height:1.5pt" o:hralign="center" o:hrstd="t" o:hr="t"/>
        </w:pict>
      </w:r>
    </w:p>
    <w:bookmarkEnd w:id="25"/>
    <w:bookmarkEnd w:id="26"/>
    <w:bookmarkStart w:id="27" w:name="Xc2e84535d708859984e06cec6a82e73460fdd43"/>
    <w:p>
      <w:pPr>
        <w:pStyle w:val="Heading2"/>
      </w:pPr>
      <w:r>
        <w:t xml:space="preserve">(iii) Métrica de distancia: SSE ponderado sobre CDF de onset</w:t>
      </w:r>
    </w:p>
    <w:p>
      <w:pPr>
        <w:pStyle w:val="FirstParagraph"/>
      </w:pPr>
      <w:r>
        <w:rPr>
          <w:bCs/>
          <w:b/>
        </w:rPr>
        <w:t xml:space="preserve">Onset</w:t>
      </w:r>
      <w:r>
        <w:t xml:space="preserve"> </w:t>
      </w:r>
      <w:r>
        <w:t xml:space="preserve">(τ_onset): tick en que ≥5% de células del tejido simulado están en estado TUMORAL. Cada evaluación usa n_sim = 150 réplicas. Función de distancia:</w:t>
      </w:r>
    </w:p>
    <w:p>
      <w:pPr>
        <w:pStyle w:val="SourceCode"/>
      </w:pPr>
      <w:r>
        <w:rPr>
          <w:rStyle w:val="VerbatimChar"/>
        </w:rPr>
        <w:t xml:space="preserve">ρ(θ) = Σ_a  [CDF_sim(a) − CDF_kutch(a)]² / σ²_a</w:t>
      </w:r>
    </w:p>
    <w:p>
      <w:pPr>
        <w:pStyle w:val="FirstParagraph"/>
      </w:pPr>
      <w:r>
        <w:t xml:space="preserve">donde σ²_a = [IC_95(a) / (2 × 1.96)]² normaliza por la incertidumbre clínica en cada edad a ∈ {30,40,50,60,70,80}.</w:t>
      </w:r>
    </w:p>
    <w:p>
      <w:r>
        <w:pict>
          <v:rect style="width:0;height:1.5pt" o:hralign="center" o:hrstd="t" o:hr="t"/>
        </w:pict>
      </w:r>
    </w:p>
    <w:bookmarkEnd w:id="27"/>
    <w:bookmarkStart w:id="28" w:name="iv-experimento-de-calibración"/>
    <w:p>
      <w:pPr>
        <w:pStyle w:val="Heading2"/>
      </w:pPr>
      <w:r>
        <w:t xml:space="preserve">(iv) Experimento de calibración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Ajuste</w:t>
            </w:r>
          </w:p>
        </w:tc>
        <w:tc>
          <w:tcPr/>
          <w:p>
            <w:pPr>
              <w:pStyle w:val="Compact"/>
              <w:jc w:val="left"/>
            </w:pPr>
            <w:r>
              <w:t xml:space="preserve">Valor</w:t>
            </w:r>
          </w:p>
        </w:tc>
      </w:tr>
      <w:tr>
        <w:tc>
          <w:tcPr/>
          <w:p>
            <w:pPr>
              <w:pStyle w:val="Compact"/>
              <w:jc w:val="left"/>
            </w:pPr>
            <w:r>
              <w:t xml:space="preserve">Partículas por generación (N)</w:t>
            </w:r>
          </w:p>
        </w:tc>
        <w:tc>
          <w:tcPr/>
          <w:p>
            <w:pPr>
              <w:pStyle w:val="Compact"/>
              <w:jc w:val="left"/>
            </w:pPr>
            <w:r>
              <w:t xml:space="preserve">200</w:t>
            </w:r>
          </w:p>
        </w:tc>
      </w:tr>
      <w:tr>
        <w:tc>
          <w:tcPr/>
          <w:p>
            <w:pPr>
              <w:pStyle w:val="Compact"/>
              <w:jc w:val="left"/>
            </w:pPr>
            <w:r>
              <w:t xml:space="preserve">α (cuantil adaptativo)</w:t>
            </w:r>
          </w:p>
        </w:tc>
        <w:tc>
          <w:tcPr/>
          <w:p>
            <w:pPr>
              <w:pStyle w:val="Compact"/>
              <w:jc w:val="left"/>
            </w:pPr>
            <w:r>
              <w:t xml:space="preserve">0.6</w:t>
            </w:r>
          </w:p>
        </w:tc>
      </w:tr>
      <w:tr>
        <w:tc>
          <w:tcPr/>
          <w:p>
            <w:pPr>
              <w:pStyle w:val="Compact"/>
              <w:jc w:val="left"/>
            </w:pPr>
            <w:r>
              <w:t xml:space="preserve">ε_0 / ε_min</w:t>
            </w:r>
          </w:p>
        </w:tc>
        <w:tc>
          <w:tcPr/>
          <w:p>
            <w:pPr>
              <w:pStyle w:val="Compact"/>
              <w:jc w:val="left"/>
            </w:pPr>
            <w:r>
              <w:t xml:space="preserve">20.0 / 5.0</w:t>
            </w:r>
          </w:p>
        </w:tc>
      </w:tr>
      <w:tr>
        <w:tc>
          <w:tcPr/>
          <w:p>
            <w:pPr>
              <w:pStyle w:val="Compact"/>
              <w:jc w:val="left"/>
            </w:pPr>
            <w:r>
              <w:t xml:space="preserve">Generaciones completadas</w:t>
            </w:r>
          </w:p>
        </w:tc>
        <w:tc>
          <w:tcPr/>
          <w:p>
            <w:pPr>
              <w:pStyle w:val="Compact"/>
              <w:jc w:val="left"/>
            </w:pPr>
            <w:r>
              <w:t xml:space="preserve">5 (Gen 0–4)</w:t>
            </w:r>
          </w:p>
        </w:tc>
      </w:tr>
      <w:tr>
        <w:tc>
          <w:tcPr/>
          <w:p>
            <w:pPr>
              <w:pStyle w:val="Compact"/>
              <w:jc w:val="left"/>
            </w:pPr>
            <w:r>
              <w:t xml:space="preserve">n_sim</w:t>
            </w:r>
          </w:p>
        </w:tc>
        <w:tc>
          <w:tcPr/>
          <w:p>
            <w:pPr>
              <w:pStyle w:val="Compact"/>
              <w:jc w:val="left"/>
            </w:pPr>
            <w:r>
              <w:t xml:space="preserve">150</w:t>
            </w:r>
          </w:p>
        </w:tc>
      </w:tr>
      <w:tr>
        <w:tc>
          <w:tcPr/>
          <w:p>
            <w:pPr>
              <w:pStyle w:val="Compact"/>
              <w:jc w:val="left"/>
            </w:pPr>
            <w:r>
              <w:t xml:space="preserve">Tejido / Ticks</w:t>
            </w:r>
          </w:p>
        </w:tc>
        <w:tc>
          <w:tcPr/>
          <w:p>
            <w:pPr>
              <w:pStyle w:val="Compact"/>
              <w:jc w:val="left"/>
            </w:pPr>
            <w:r>
              <w:t xml:space="preserve">500 células / 80 años</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Gen</w:t>
            </w:r>
          </w:p>
        </w:tc>
        <w:tc>
          <w:tcPr/>
          <w:p>
            <w:pPr>
              <w:pStyle w:val="Compact"/>
              <w:jc w:val="left"/>
            </w:pPr>
            <w:r>
              <w:t xml:space="preserve">ε</w:t>
            </w:r>
          </w:p>
        </w:tc>
        <w:tc>
          <w:tcPr/>
          <w:p>
            <w:pPr>
              <w:pStyle w:val="Compact"/>
              <w:jc w:val="left"/>
            </w:pPr>
            <w:r>
              <w:t xml:space="preserve">dist̄</w:t>
            </w:r>
          </w:p>
        </w:tc>
        <w:tc>
          <w:tcPr/>
          <w:p>
            <w:pPr>
              <w:pStyle w:val="Compact"/>
              <w:jc w:val="left"/>
            </w:pPr>
            <w:r>
              <w:t xml:space="preserve">dist_min</w:t>
            </w:r>
          </w:p>
        </w:tc>
        <w:tc>
          <w:tcPr/>
          <w:p>
            <w:pPr>
              <w:pStyle w:val="Compact"/>
              <w:jc w:val="left"/>
            </w:pPr>
            <w:r>
              <w:t xml:space="preserve">ESS/N</w:t>
            </w:r>
          </w:p>
        </w:tc>
      </w:tr>
      <w:tr>
        <w:tc>
          <w:tcPr/>
          <w:p>
            <w:pPr>
              <w:pStyle w:val="Compact"/>
              <w:jc w:val="left"/>
            </w:pPr>
            <w:r>
              <w:t xml:space="preserve">0</w:t>
            </w:r>
          </w:p>
        </w:tc>
        <w:tc>
          <w:tcPr/>
          <w:p>
            <w:pPr>
              <w:pStyle w:val="Compact"/>
              <w:jc w:val="left"/>
            </w:pPr>
            <w:r>
              <w:t xml:space="preserve">20.00</w:t>
            </w:r>
          </w:p>
        </w:tc>
        <w:tc>
          <w:tcPr/>
          <w:p>
            <w:pPr>
              <w:pStyle w:val="Compact"/>
              <w:jc w:val="left"/>
            </w:pPr>
            <w:r>
              <w:t xml:space="preserve">13.50</w:t>
            </w:r>
          </w:p>
        </w:tc>
        <w:tc>
          <w:tcPr/>
          <w:p>
            <w:pPr>
              <w:pStyle w:val="Compact"/>
              <w:jc w:val="left"/>
            </w:pPr>
            <w:r>
              <w:t xml:space="preserve">1.94</w:t>
            </w:r>
          </w:p>
        </w:tc>
        <w:tc>
          <w:tcPr/>
          <w:p>
            <w:pPr>
              <w:pStyle w:val="Compact"/>
              <w:jc w:val="left"/>
            </w:pPr>
            <w:r>
              <w:t xml:space="preserve">1.000</w:t>
            </w:r>
          </w:p>
        </w:tc>
      </w:tr>
      <w:tr>
        <w:tc>
          <w:tcPr/>
          <w:p>
            <w:pPr>
              <w:pStyle w:val="Compact"/>
              <w:jc w:val="left"/>
            </w:pPr>
            <w:r>
              <w:t xml:space="preserve">1</w:t>
            </w:r>
          </w:p>
        </w:tc>
        <w:tc>
          <w:tcPr/>
          <w:p>
            <w:pPr>
              <w:pStyle w:val="Compact"/>
              <w:jc w:val="left"/>
            </w:pPr>
            <w:r>
              <w:t xml:space="preserve">15.43</w:t>
            </w:r>
          </w:p>
        </w:tc>
        <w:tc>
          <w:tcPr/>
          <w:p>
            <w:pPr>
              <w:pStyle w:val="Compact"/>
              <w:jc w:val="left"/>
            </w:pPr>
            <w:r>
              <w:t xml:space="preserve">9.98</w:t>
            </w:r>
          </w:p>
        </w:tc>
        <w:tc>
          <w:tcPr/>
          <w:p>
            <w:pPr>
              <w:pStyle w:val="Compact"/>
              <w:jc w:val="left"/>
            </w:pPr>
            <w:r>
              <w:t xml:space="preserve">1.17</w:t>
            </w:r>
          </w:p>
        </w:tc>
        <w:tc>
          <w:tcPr/>
          <w:p>
            <w:pPr>
              <w:pStyle w:val="Compact"/>
              <w:jc w:val="left"/>
            </w:pPr>
            <w:r>
              <w:t xml:space="preserve">0.965</w:t>
            </w:r>
          </w:p>
        </w:tc>
      </w:tr>
      <w:tr>
        <w:tc>
          <w:tcPr/>
          <w:p>
            <w:pPr>
              <w:pStyle w:val="Compact"/>
              <w:jc w:val="left"/>
            </w:pPr>
            <w:r>
              <w:t xml:space="preserve">2</w:t>
            </w:r>
          </w:p>
        </w:tc>
        <w:tc>
          <w:tcPr/>
          <w:p>
            <w:pPr>
              <w:pStyle w:val="Compact"/>
              <w:jc w:val="left"/>
            </w:pPr>
            <w:r>
              <w:t xml:space="preserve">11.61</w:t>
            </w:r>
          </w:p>
        </w:tc>
        <w:tc>
          <w:tcPr/>
          <w:p>
            <w:pPr>
              <w:pStyle w:val="Compact"/>
              <w:jc w:val="left"/>
            </w:pPr>
            <w:r>
              <w:t xml:space="preserve">7.31</w:t>
            </w:r>
          </w:p>
        </w:tc>
        <w:tc>
          <w:tcPr/>
          <w:p>
            <w:pPr>
              <w:pStyle w:val="Compact"/>
              <w:jc w:val="left"/>
            </w:pPr>
            <w:r>
              <w:t xml:space="preserve">1.08</w:t>
            </w:r>
          </w:p>
        </w:tc>
        <w:tc>
          <w:tcPr/>
          <w:p>
            <w:pPr>
              <w:pStyle w:val="Compact"/>
              <w:jc w:val="left"/>
            </w:pPr>
            <w:r>
              <w:t xml:space="preserve">0.942</w:t>
            </w:r>
          </w:p>
        </w:tc>
      </w:tr>
      <w:tr>
        <w:tc>
          <w:tcPr/>
          <w:p>
            <w:pPr>
              <w:pStyle w:val="Compact"/>
              <w:jc w:val="left"/>
            </w:pPr>
            <w:r>
              <w:t xml:space="preserve">3</w:t>
            </w:r>
          </w:p>
        </w:tc>
        <w:tc>
          <w:tcPr/>
          <w:p>
            <w:pPr>
              <w:pStyle w:val="Compact"/>
              <w:jc w:val="left"/>
            </w:pPr>
            <w:r>
              <w:t xml:space="preserve">8.19</w:t>
            </w:r>
          </w:p>
        </w:tc>
        <w:tc>
          <w:tcPr/>
          <w:p>
            <w:pPr>
              <w:pStyle w:val="Compact"/>
              <w:jc w:val="left"/>
            </w:pPr>
            <w:r>
              <w:t xml:space="preserve">5.54</w:t>
            </w:r>
          </w:p>
        </w:tc>
        <w:tc>
          <w:tcPr/>
          <w:p>
            <w:pPr>
              <w:pStyle w:val="Compact"/>
              <w:jc w:val="left"/>
            </w:pPr>
            <w:r>
              <w:t xml:space="preserve">0.57</w:t>
            </w:r>
          </w:p>
        </w:tc>
        <w:tc>
          <w:tcPr/>
          <w:p>
            <w:pPr>
              <w:pStyle w:val="Compact"/>
              <w:jc w:val="left"/>
            </w:pPr>
            <w:r>
              <w:t xml:space="preserve">0.960</w:t>
            </w:r>
          </w:p>
        </w:tc>
      </w:tr>
      <w:tr>
        <w:tc>
          <w:tcPr/>
          <w:p>
            <w:pPr>
              <w:pStyle w:val="Compact"/>
              <w:jc w:val="left"/>
            </w:pPr>
            <w:r>
              <w:t xml:space="preserve">4</w:t>
            </w:r>
          </w:p>
        </w:tc>
        <w:tc>
          <w:tcPr/>
          <w:p>
            <w:pPr>
              <w:pStyle w:val="Compact"/>
              <w:jc w:val="left"/>
            </w:pPr>
            <w:r>
              <w:t xml:space="preserve">6.20</w:t>
            </w:r>
          </w:p>
        </w:tc>
        <w:tc>
          <w:tcPr/>
          <w:p>
            <w:pPr>
              <w:pStyle w:val="Compact"/>
              <w:jc w:val="left"/>
            </w:pPr>
            <w:r>
              <w:t xml:space="preserve">4.45</w:t>
            </w:r>
          </w:p>
        </w:tc>
        <w:tc>
          <w:tcPr/>
          <w:p>
            <w:pPr>
              <w:pStyle w:val="Compact"/>
              <w:jc w:val="left"/>
            </w:pPr>
            <w:r>
              <w:t xml:space="preserve">0.92</w:t>
            </w:r>
          </w:p>
        </w:tc>
        <w:tc>
          <w:tcPr/>
          <w:p>
            <w:pPr>
              <w:pStyle w:val="Compact"/>
              <w:jc w:val="left"/>
            </w:pPr>
            <w:r>
              <w:t xml:space="preserve">0.917</w:t>
            </w:r>
          </w:p>
        </w:tc>
      </w:tr>
    </w:tbl>
    <w:p>
      <w:r>
        <w:pict>
          <v:rect style="width:0;height:1.5pt" o:hralign="center" o:hrstd="t" o:hr="t"/>
        </w:pict>
      </w:r>
    </w:p>
    <w:bookmarkEnd w:id="28"/>
    <w:bookmarkStart w:id="30" w:name="Xdb88b904fda21461eab933c8ebe008b98fac057"/>
    <w:p>
      <w:pPr>
        <w:pStyle w:val="Heading2"/>
      </w:pPr>
      <w:r>
        <w:t xml:space="preserve">(v) Resultados principales: estimaciones del posterior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Parámetro</w:t>
            </w:r>
          </w:p>
        </w:tc>
        <w:tc>
          <w:tcPr/>
          <w:p>
            <w:pPr>
              <w:pStyle w:val="Compact"/>
              <w:jc w:val="left"/>
            </w:pPr>
            <w:r>
              <w:t xml:space="preserve">Prior</w:t>
            </w:r>
          </w:p>
        </w:tc>
        <w:tc>
          <w:tcPr/>
          <w:p>
            <w:pPr>
              <w:pStyle w:val="Compact"/>
              <w:jc w:val="left"/>
            </w:pPr>
            <w:r>
              <w:t xml:space="preserve">Media</w:t>
            </w:r>
          </w:p>
        </w:tc>
        <w:tc>
          <w:tcPr/>
          <w:p>
            <w:pPr>
              <w:pStyle w:val="Compact"/>
              <w:jc w:val="left"/>
            </w:pPr>
            <w:r>
              <w:t xml:space="preserve">Std</w:t>
            </w:r>
          </w:p>
        </w:tc>
        <w:tc>
          <w:tcPr/>
          <w:p>
            <w:pPr>
              <w:pStyle w:val="Compact"/>
              <w:jc w:val="left"/>
            </w:pPr>
            <w:r>
              <w:t xml:space="preserve">IC 95%</w:t>
            </w:r>
          </w:p>
        </w:tc>
      </w:tr>
      <w:tr>
        <w:tc>
          <w:tcPr/>
          <w:p>
            <w:pPr>
              <w:pStyle w:val="Compact"/>
              <w:jc w:val="left"/>
            </w:pPr>
            <w:r>
              <w:t xml:space="preserve">β_BRCA1</w:t>
            </w:r>
          </w:p>
        </w:tc>
        <w:tc>
          <w:tcPr/>
          <w:p>
            <w:pPr>
              <w:pStyle w:val="Compact"/>
              <w:jc w:val="left"/>
            </w:pPr>
            <w:r>
              <w:t xml:space="preserve">[0.025, 0.080]</w:t>
            </w:r>
          </w:p>
        </w:tc>
        <w:tc>
          <w:tcPr/>
          <w:p>
            <w:pPr>
              <w:pStyle w:val="Compact"/>
              <w:jc w:val="left"/>
            </w:pPr>
            <w:r>
              <w:t xml:space="preserve">0.04446</w:t>
            </w:r>
          </w:p>
        </w:tc>
        <w:tc>
          <w:tcPr/>
          <w:p>
            <w:pPr>
              <w:pStyle w:val="Compact"/>
              <w:jc w:val="left"/>
            </w:pPr>
            <w:r>
              <w:t xml:space="preserve">0.00413</w:t>
            </w:r>
          </w:p>
        </w:tc>
        <w:tc>
          <w:tcPr/>
          <w:p>
            <w:pPr>
              <w:pStyle w:val="Compact"/>
              <w:jc w:val="left"/>
            </w:pPr>
            <w:r>
              <w:t xml:space="preserve">[0.0372, 0.0526]</w:t>
            </w:r>
          </w:p>
        </w:tc>
      </w:tr>
      <w:tr>
        <w:tc>
          <w:tcPr/>
          <w:p>
            <w:pPr>
              <w:pStyle w:val="Compact"/>
              <w:jc w:val="left"/>
            </w:pPr>
            <w:r>
              <w:t xml:space="preserve">δ_low</w:t>
            </w:r>
          </w:p>
        </w:tc>
        <w:tc>
          <w:tcPr/>
          <w:p>
            <w:pPr>
              <w:pStyle w:val="Compact"/>
              <w:jc w:val="left"/>
            </w:pPr>
            <w:r>
              <w:t xml:space="preserve">[0.060, 0.220]</w:t>
            </w:r>
          </w:p>
        </w:tc>
        <w:tc>
          <w:tcPr/>
          <w:p>
            <w:pPr>
              <w:pStyle w:val="Compact"/>
              <w:jc w:val="left"/>
            </w:pPr>
            <w:r>
              <w:t xml:space="preserve">0.10930</w:t>
            </w:r>
          </w:p>
        </w:tc>
        <w:tc>
          <w:tcPr/>
          <w:p>
            <w:pPr>
              <w:pStyle w:val="Compact"/>
              <w:jc w:val="left"/>
            </w:pPr>
            <w:r>
              <w:t xml:space="preserve">0.01886</w:t>
            </w:r>
          </w:p>
        </w:tc>
        <w:tc>
          <w:tcPr/>
          <w:p>
            <w:pPr>
              <w:pStyle w:val="Compact"/>
              <w:jc w:val="left"/>
            </w:pPr>
            <w:r>
              <w:t xml:space="preserve">[0.0836, 0.1468]</w:t>
            </w:r>
          </w:p>
        </w:tc>
      </w:tr>
      <w:tr>
        <w:tc>
          <w:tcPr/>
          <w:p>
            <w:pPr>
              <w:pStyle w:val="Compact"/>
              <w:jc w:val="left"/>
            </w:pPr>
            <w:r>
              <w:t xml:space="preserve">δ_high</w:t>
            </w:r>
          </w:p>
        </w:tc>
        <w:tc>
          <w:tcPr/>
          <w:p>
            <w:pPr>
              <w:pStyle w:val="Compact"/>
              <w:jc w:val="left"/>
            </w:pPr>
            <w:r>
              <w:t xml:space="preserve">[0.120, 0.600]</w:t>
            </w:r>
          </w:p>
        </w:tc>
        <w:tc>
          <w:tcPr/>
          <w:p>
            <w:pPr>
              <w:pStyle w:val="Compact"/>
              <w:jc w:val="left"/>
            </w:pPr>
            <w:r>
              <w:t xml:space="preserve">0.35038</w:t>
            </w:r>
          </w:p>
        </w:tc>
        <w:tc>
          <w:tcPr/>
          <w:p>
            <w:pPr>
              <w:pStyle w:val="Compact"/>
              <w:jc w:val="left"/>
            </w:pPr>
            <w:r>
              <w:t xml:space="preserve">0.12583</w:t>
            </w:r>
          </w:p>
        </w:tc>
        <w:tc>
          <w:tcPr/>
          <w:p>
            <w:pPr>
              <w:pStyle w:val="Compact"/>
              <w:jc w:val="left"/>
            </w:pPr>
            <w:r>
              <w:t xml:space="preserve">[0.1498, 0.5914]</w:t>
            </w:r>
          </w:p>
        </w:tc>
      </w:tr>
      <w:tr>
        <w:tc>
          <w:tcPr/>
          <w:p>
            <w:pPr>
              <w:pStyle w:val="Compact"/>
              <w:jc w:val="left"/>
            </w:pPr>
            <w:r>
              <w:t xml:space="preserve">ν</w:t>
            </w:r>
          </w:p>
        </w:tc>
        <w:tc>
          <w:tcPr/>
          <w:p>
            <w:pPr>
              <w:pStyle w:val="Compact"/>
              <w:jc w:val="left"/>
            </w:pPr>
            <w:r>
              <w:t xml:space="preserve">[0.100, 0.240]</w:t>
            </w:r>
          </w:p>
        </w:tc>
        <w:tc>
          <w:tcPr/>
          <w:p>
            <w:pPr>
              <w:pStyle w:val="Compact"/>
              <w:jc w:val="left"/>
            </w:pPr>
            <w:r>
              <w:t xml:space="preserve">0.15635</w:t>
            </w:r>
          </w:p>
        </w:tc>
        <w:tc>
          <w:tcPr/>
          <w:p>
            <w:pPr>
              <w:pStyle w:val="Compact"/>
              <w:jc w:val="left"/>
            </w:pPr>
            <w:r>
              <w:t xml:space="preserve">0.04103</w:t>
            </w:r>
          </w:p>
        </w:tc>
        <w:tc>
          <w:tcPr/>
          <w:p>
            <w:pPr>
              <w:pStyle w:val="Compact"/>
              <w:jc w:val="left"/>
            </w:pPr>
            <w:r>
              <w:t xml:space="preserve">[0.1015, 0.2300]</w:t>
            </w:r>
          </w:p>
        </w:tc>
      </w:tr>
    </w:tbl>
    <w:bookmarkStart w:id="29" w:name="X6d83f4404ae057defd7af1437292facc26395d7"/>
    <w:p>
      <w:pPr>
        <w:pStyle w:val="Heading3"/>
      </w:pPr>
      <w:r>
        <w:t xml:space="preserve">Validación clínica: CDF del modelo vs. Kuchenbaecker 2017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Edad</w:t>
            </w:r>
          </w:p>
        </w:tc>
        <w:tc>
          <w:tcPr/>
          <w:p>
            <w:pPr>
              <w:pStyle w:val="Compact"/>
              <w:jc w:val="left"/>
            </w:pPr>
            <w:r>
              <w:t xml:space="preserve">Modelo (%)</w:t>
            </w:r>
          </w:p>
        </w:tc>
        <w:tc>
          <w:tcPr/>
          <w:p>
            <w:pPr>
              <w:pStyle w:val="Compact"/>
              <w:jc w:val="left"/>
            </w:pPr>
            <w:r>
              <w:t xml:space="preserve">Kuchenbaecker (%)</w:t>
            </w:r>
          </w:p>
        </w:tc>
        <w:tc>
          <w:tcPr/>
          <w:p>
            <w:pPr>
              <w:pStyle w:val="Compact"/>
              <w:jc w:val="left"/>
            </w:pPr>
            <w:r>
              <w:t xml:space="preserve">IC 95%</w:t>
            </w:r>
          </w:p>
        </w:tc>
        <w:tc>
          <w:tcPr/>
          <w:p>
            <w:pPr>
              <w:pStyle w:val="Compact"/>
            </w:pPr>
          </w:p>
        </w:tc>
      </w:tr>
      <w:tr>
        <w:tc>
          <w:tcPr/>
          <w:p>
            <w:pPr>
              <w:pStyle w:val="Compact"/>
              <w:jc w:val="left"/>
            </w:pPr>
            <w:r>
              <w:t xml:space="preserve">30</w:t>
            </w:r>
          </w:p>
        </w:tc>
        <w:tc>
          <w:tcPr/>
          <w:p>
            <w:pPr>
              <w:pStyle w:val="Compact"/>
              <w:jc w:val="left"/>
            </w:pPr>
            <w:r>
              <w:t xml:space="preserve">2.6</w:t>
            </w:r>
          </w:p>
        </w:tc>
        <w:tc>
          <w:tcPr/>
          <w:p>
            <w:pPr>
              <w:pStyle w:val="Compact"/>
              <w:jc w:val="left"/>
            </w:pPr>
            <w:r>
              <w:t xml:space="preserve">4.0</w:t>
            </w:r>
          </w:p>
        </w:tc>
        <w:tc>
          <w:tcPr/>
          <w:p>
            <w:pPr>
              <w:pStyle w:val="Compact"/>
              <w:jc w:val="left"/>
            </w:pPr>
            <w:r>
              <w:t xml:space="preserve">[2–7%]</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25.8</w:t>
            </w:r>
          </w:p>
        </w:tc>
        <w:tc>
          <w:tcPr/>
          <w:p>
            <w:pPr>
              <w:pStyle w:val="Compact"/>
              <w:jc w:val="left"/>
            </w:pPr>
            <w:r>
              <w:t xml:space="preserve">26.0</w:t>
            </w:r>
          </w:p>
        </w:tc>
        <w:tc>
          <w:tcPr/>
          <w:p>
            <w:pPr>
              <w:pStyle w:val="Compact"/>
              <w:jc w:val="left"/>
            </w:pPr>
            <w:r>
              <w:t xml:space="preserve">[22–30%]</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45.8</w:t>
            </w:r>
          </w:p>
        </w:tc>
        <w:tc>
          <w:tcPr/>
          <w:p>
            <w:pPr>
              <w:pStyle w:val="Compact"/>
              <w:jc w:val="left"/>
            </w:pPr>
            <w:r>
              <w:t xml:space="preserve">46.0</w:t>
            </w:r>
          </w:p>
        </w:tc>
        <w:tc>
          <w:tcPr/>
          <w:p>
            <w:pPr>
              <w:pStyle w:val="Compact"/>
              <w:jc w:val="left"/>
            </w:pPr>
            <w:r>
              <w:t xml:space="preserve">[41–52%]</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55.8</w:t>
            </w:r>
          </w:p>
        </w:tc>
        <w:tc>
          <w:tcPr/>
          <w:p>
            <w:pPr>
              <w:pStyle w:val="Compact"/>
              <w:jc w:val="left"/>
            </w:pPr>
            <w:r>
              <w:t xml:space="preserve">58.0</w:t>
            </w:r>
          </w:p>
        </w:tc>
        <w:tc>
          <w:tcPr/>
          <w:p>
            <w:pPr>
              <w:pStyle w:val="Compact"/>
              <w:jc w:val="left"/>
            </w:pPr>
            <w:r>
              <w:t xml:space="preserve">[52–65%]</w:t>
            </w:r>
          </w:p>
        </w:tc>
        <w:tc>
          <w:tcPr/>
          <w:p>
            <w:pPr>
              <w:pStyle w:val="Compact"/>
              <w:jc w:val="left"/>
            </w:pPr>
            <w:r>
              <w:t xml:space="preserve">✅</w:t>
            </w:r>
          </w:p>
        </w:tc>
      </w:tr>
      <w:tr>
        <w:tc>
          <w:tcPr/>
          <w:p>
            <w:pPr>
              <w:pStyle w:val="Compact"/>
              <w:jc w:val="left"/>
            </w:pPr>
            <w:r>
              <w:t xml:space="preserve">70</w:t>
            </w:r>
          </w:p>
        </w:tc>
        <w:tc>
          <w:tcPr/>
          <w:p>
            <w:pPr>
              <w:pStyle w:val="Compact"/>
              <w:jc w:val="left"/>
            </w:pPr>
            <w:r>
              <w:t xml:space="preserve">61.4</w:t>
            </w:r>
          </w:p>
        </w:tc>
        <w:tc>
          <w:tcPr/>
          <w:p>
            <w:pPr>
              <w:pStyle w:val="Compact"/>
              <w:jc w:val="left"/>
            </w:pPr>
            <w:r>
              <w:t xml:space="preserve">65.0</w:t>
            </w:r>
          </w:p>
        </w:tc>
        <w:tc>
          <w:tcPr/>
          <w:p>
            <w:pPr>
              <w:pStyle w:val="Compact"/>
              <w:jc w:val="left"/>
            </w:pPr>
            <w:r>
              <w:t xml:space="preserve">[56–73%]</w:t>
            </w:r>
          </w:p>
        </w:tc>
        <w:tc>
          <w:tcPr/>
          <w:p>
            <w:pPr>
              <w:pStyle w:val="Compact"/>
              <w:jc w:val="left"/>
            </w:pPr>
            <w:r>
              <w:t xml:space="preserve">✅</w:t>
            </w:r>
          </w:p>
        </w:tc>
      </w:tr>
      <w:tr>
        <w:tc>
          <w:tcPr/>
          <w:p>
            <w:pPr>
              <w:pStyle w:val="Compact"/>
              <w:jc w:val="left"/>
            </w:pPr>
            <w:r>
              <w:t xml:space="preserve">80</w:t>
            </w:r>
          </w:p>
        </w:tc>
        <w:tc>
          <w:tcPr/>
          <w:p>
            <w:pPr>
              <w:pStyle w:val="Compact"/>
              <w:jc w:val="left"/>
            </w:pPr>
            <w:r>
              <w:t xml:space="preserve">63.6</w:t>
            </w:r>
          </w:p>
        </w:tc>
        <w:tc>
          <w:tcPr/>
          <w:p>
            <w:pPr>
              <w:pStyle w:val="Compact"/>
              <w:jc w:val="left"/>
            </w:pPr>
            <w:r>
              <w:t xml:space="preserve">70.0</w:t>
            </w:r>
          </w:p>
        </w:tc>
        <w:tc>
          <w:tcPr/>
          <w:p>
            <w:pPr>
              <w:pStyle w:val="Compact"/>
              <w:jc w:val="left"/>
            </w:pPr>
            <w:r>
              <w:t xml:space="preserve">[60–80%]</w:t>
            </w:r>
          </w:p>
        </w:tc>
        <w:tc>
          <w:tcPr/>
          <w:p>
            <w:pPr>
              <w:pStyle w:val="Compact"/>
              <w:jc w:val="left"/>
            </w:pPr>
            <w:r>
              <w:t xml:space="preserve">✅</w:t>
            </w:r>
          </w:p>
        </w:tc>
      </w:tr>
    </w:tbl>
    <w:p>
      <w:r>
        <w:pict>
          <v:rect style="width:0;height:1.5pt" o:hralign="center" o:hrstd="t" o:hr="t"/>
        </w:pict>
      </w:r>
    </w:p>
    <w:bookmarkEnd w:id="29"/>
    <w:bookmarkEnd w:id="30"/>
    <w:bookmarkStart w:id="32" w:name="X23766a391e6a37f2c68d75aebe73969f9524954"/>
    <w:p>
      <w:pPr>
        <w:pStyle w:val="Heading2"/>
      </w:pPr>
      <w:r>
        <w:t xml:space="preserve">(vi) Estructura del posterior: gradiente tumoral</w:t>
      </w:r>
    </w:p>
    <w:bookmarkStart w:id="31" w:name="X052e16080dcffc0370e1804490f4a626067c00d"/>
    <w:p>
      <w:pPr>
        <w:pStyle w:val="Heading3"/>
      </w:pPr>
      <w:r>
        <w:t xml:space="preserve">Sin bimodalidad — gradiente continuo en (δ_low, ν)</w:t>
      </w:r>
    </w:p>
    <w:p>
      <w:pPr>
        <w:pStyle w:val="FirstParagraph"/>
      </w:pPr>
      <w:r>
        <w:t xml:space="preserve">El posterior es</w:t>
      </w:r>
      <w:r>
        <w:t xml:space="preserve"> </w:t>
      </w:r>
      <w:r>
        <w:rPr>
          <w:bCs/>
          <w:b/>
        </w:rPr>
        <w:t xml:space="preserve">unimodal</w:t>
      </w:r>
      <w:r>
        <w:t xml:space="preserve"> </w:t>
      </w:r>
      <w:r>
        <w:t xml:space="preserve">en todos los parámetros. Sin embargo, muestra una</w:t>
      </w:r>
      <w:r>
        <w:t xml:space="preserve"> </w:t>
      </w:r>
      <w:r>
        <w:rPr>
          <w:bCs/>
          <w:b/>
        </w:rPr>
        <w:t xml:space="preserve">estructura de gradiente significativa</w:t>
      </w:r>
      <w:r>
        <w:t xml:space="preserve">:</w:t>
      </w:r>
    </w:p>
    <w:tbl>
      <w:tblPr>
        <w:tblStyle w:val="Table"/>
        <w:tblW w:type="pct" w:w="5000"/>
        <w:tblLook w:firstRow="1" w:lastRow="0" w:firstColumn="0" w:lastColumn="0" w:noHBand="0" w:noVBand="0" w:val="0020"/>
        <w:jc w:val="start"/>
      </w:tblPr>
      <w:tblGrid>
        <w:gridCol w:w="2640"/>
        <w:gridCol w:w="1806"/>
        <w:gridCol w:w="1250"/>
        <w:gridCol w:w="2223"/>
      </w:tblGrid>
      <w:tr>
        <w:trPr>
          <w:tblHeader w:val="true"/>
        </w:trPr>
        <w:tc>
          <w:tcPr/>
          <w:p>
            <w:pPr>
              <w:pStyle w:val="Compact"/>
              <w:jc w:val="left"/>
            </w:pPr>
            <w:r>
              <w:t xml:space="preserve">Par de parámetros</w:t>
            </w:r>
          </w:p>
        </w:tc>
        <w:tc>
          <w:tcPr/>
          <w:p>
            <w:pPr>
              <w:pStyle w:val="Compact"/>
              <w:jc w:val="left"/>
            </w:pPr>
            <w:r>
              <w:t xml:space="preserve">r (Pearson)</w:t>
            </w:r>
          </w:p>
        </w:tc>
        <w:tc>
          <w:tcPr/>
          <w:p>
            <w:pPr>
              <w:pStyle w:val="Compact"/>
              <w:jc w:val="left"/>
            </w:pPr>
            <w:r>
              <w:t xml:space="preserve">p-valor</w:t>
            </w:r>
          </w:p>
        </w:tc>
        <w:tc>
          <w:tcPr/>
          <w:p>
            <w:pPr>
              <w:pStyle w:val="Compact"/>
              <w:jc w:val="left"/>
            </w:pPr>
            <w:r>
              <w:t xml:space="preserve">Interpretación</w:t>
            </w:r>
          </w:p>
        </w:tc>
      </w:tr>
      <w:tr>
        <w:tc>
          <w:tcPr/>
          <w:p>
            <w:pPr>
              <w:pStyle w:val="Compact"/>
              <w:jc w:val="left"/>
            </w:pPr>
            <w:r>
              <w:t xml:space="preserve">δ_low ↔ ν</w:t>
            </w:r>
          </w:p>
        </w:tc>
        <w:tc>
          <w:tcPr/>
          <w:p>
            <w:pPr>
              <w:pStyle w:val="Compact"/>
              <w:jc w:val="left"/>
            </w:pPr>
            <w:r>
              <w:rPr>
                <w:bCs/>
                <w:b/>
              </w:rPr>
              <w:t xml:space="preserve">−0.609</w:t>
            </w:r>
          </w:p>
        </w:tc>
        <w:tc>
          <w:tcPr/>
          <w:p>
            <w:pPr>
              <w:pStyle w:val="Compact"/>
              <w:jc w:val="left"/>
            </w:pPr>
            <w:r>
              <w:t xml:space="preserve">&lt;10⁻²¹</w:t>
            </w:r>
          </w:p>
        </w:tc>
        <w:tc>
          <w:tcPr/>
          <w:p>
            <w:pPr>
              <w:pStyle w:val="Compact"/>
              <w:jc w:val="left"/>
            </w:pPr>
            <w:r>
              <w:t xml:space="preserve">Eje principal del gradiente</w:t>
            </w:r>
          </w:p>
        </w:tc>
      </w:tr>
      <w:tr>
        <w:tc>
          <w:tcPr/>
          <w:p>
            <w:pPr>
              <w:pStyle w:val="Compact"/>
              <w:jc w:val="left"/>
            </w:pPr>
            <w:r>
              <w:t xml:space="preserve">β_BRCA1 ↔ δ_low</w:t>
            </w:r>
          </w:p>
        </w:tc>
        <w:tc>
          <w:tcPr/>
          <w:p>
            <w:pPr>
              <w:pStyle w:val="Compact"/>
              <w:jc w:val="left"/>
            </w:pPr>
            <w:r>
              <w:t xml:space="preserve">+0.276</w:t>
            </w:r>
          </w:p>
        </w:tc>
        <w:tc>
          <w:tcPr/>
          <w:p>
            <w:pPr>
              <w:pStyle w:val="Compact"/>
              <w:jc w:val="left"/>
            </w:pPr>
            <w:r>
              <w:t xml:space="preserve">7.8×10⁻⁵</w:t>
            </w:r>
          </w:p>
        </w:tc>
        <w:tc>
          <w:tcPr/>
          <w:p>
            <w:pPr>
              <w:pStyle w:val="Compact"/>
              <w:jc w:val="left"/>
            </w:pPr>
            <w:r>
              <w:t xml:space="preserve">Compensatoria</w:t>
            </w:r>
          </w:p>
        </w:tc>
      </w:tr>
      <w:tr>
        <w:tc>
          <w:tcPr/>
          <w:p>
            <w:pPr>
              <w:pStyle w:val="Compact"/>
              <w:jc w:val="left"/>
            </w:pPr>
            <w:r>
              <w:t xml:space="preserve">δ_low ↔ δ_high</w:t>
            </w:r>
          </w:p>
        </w:tc>
        <w:tc>
          <w:tcPr/>
          <w:p>
            <w:pPr>
              <w:pStyle w:val="Compact"/>
              <w:jc w:val="left"/>
            </w:pPr>
            <w:r>
              <w:t xml:space="preserve">−0.246</w:t>
            </w:r>
          </w:p>
        </w:tc>
        <w:tc>
          <w:tcPr/>
          <w:p>
            <w:pPr>
              <w:pStyle w:val="Compact"/>
              <w:jc w:val="left"/>
            </w:pPr>
            <w:r>
              <w:t xml:space="preserve">4.4×10⁻⁴</w:t>
            </w:r>
          </w:p>
        </w:tc>
        <w:tc>
          <w:tcPr/>
          <w:p>
            <w:pPr>
              <w:pStyle w:val="Compact"/>
              <w:jc w:val="left"/>
            </w:pPr>
            <w:r>
              <w:t xml:space="preserve">Barrera intrínseca vs. homocigota</w:t>
            </w:r>
          </w:p>
        </w:tc>
      </w:tr>
      <w:tr>
        <w:tc>
          <w:tcPr/>
          <w:p>
            <w:pPr>
              <w:pStyle w:val="Compact"/>
              <w:jc w:val="left"/>
            </w:pPr>
            <w:r>
              <w:t xml:space="preserve">β_BRCA1 ↔ ν</w:t>
            </w:r>
          </w:p>
        </w:tc>
        <w:tc>
          <w:tcPr/>
          <w:p>
            <w:pPr>
              <w:pStyle w:val="Compact"/>
              <w:jc w:val="left"/>
            </w:pPr>
            <w:r>
              <w:t xml:space="preserve">−0.247</w:t>
            </w:r>
          </w:p>
        </w:tc>
        <w:tc>
          <w:tcPr/>
          <w:p>
            <w:pPr>
              <w:pStyle w:val="Compact"/>
              <w:jc w:val="left"/>
            </w:pPr>
            <w:r>
              <w:t xml:space="preserve">4.3×10⁻⁴</w:t>
            </w:r>
          </w:p>
        </w:tc>
        <w:tc>
          <w:tcPr/>
          <w:p>
            <w:pPr>
              <w:pStyle w:val="Compact"/>
              <w:jc w:val="left"/>
            </w:pPr>
            <w:r>
              <w:t xml:space="preserve">Secundaria</w:t>
            </w:r>
          </w:p>
        </w:tc>
      </w:tr>
    </w:tbl>
    <w:p>
      <w:pPr>
        <w:pStyle w:val="BodyText"/>
      </w:pPr>
      <w:r>
        <w:t xml:space="preserve">La anticorrelación r(δ_low, ν) = −0.609 es el eje estructural del posterior:</w:t>
      </w:r>
      <w:r>
        <w:t xml:space="preserve"> </w:t>
      </w:r>
      <w:r>
        <w:rPr>
          <w:bCs/>
          <w:b/>
        </w:rPr>
        <w:t xml:space="preserve">baja barrera apoptótica se compensa con alta tasa de división neoplásica, y viceversa</w:t>
      </w:r>
      <w:r>
        <w:t xml:space="preserve">. Ambas configuraciones producen el mismo riesgo acumulado Kuchenbaecker, pero mediante dinámicas de crecimiento radicalmente distintas. Una posible interpretación biológica de estos resultados se introduce en la siguiente sección.</w:t>
      </w:r>
    </w:p>
    <w:p>
      <w:pPr>
        <w:pStyle w:val="BlockText"/>
      </w:pPr>
      <w:r>
        <w:rPr>
          <w:bCs/>
          <w:b/>
        </w:rPr>
        <w:t xml:space="preserve">[Anotación]</w:t>
      </w:r>
      <w:r>
        <w:t xml:space="preserve"> </w:t>
      </w:r>
      <w:r>
        <w:rPr>
          <w:iCs/>
          <w:i/>
        </w:rPr>
        <w:t xml:space="preserve">Una posible interpretación biológica de estos resultados se introduce en la siguiente sección.</w:t>
      </w:r>
    </w:p>
    <w:p>
      <w:pPr>
        <w:pStyle w:val="BlockText"/>
      </w:pPr>
      <w:r>
        <w:rPr>
          <w:bCs/>
          <w:b/>
        </w:rPr>
        <w:t xml:space="preserve">[Respuesta]</w:t>
      </w:r>
      <w:r>
        <w:t xml:space="preserve"> </w:t>
      </w:r>
      <w:r>
        <w:t xml:space="preserve">Anotación correcta como puente narrativo — se mantiene. Complemento: la anticorrelación r = −0.609 es coherente con el principio de</w:t>
      </w:r>
      <w:r>
        <w:t xml:space="preserve"> </w:t>
      </w:r>
      <w:r>
        <w:rPr>
          <w:bCs/>
          <w:b/>
        </w:rPr>
        <w:t xml:space="preserve">compensación homeostática tumoral</w:t>
      </w:r>
      <w:r>
        <w:t xml:space="preserve">: el tejido BRCA1+/- puede alcanzar el mismo riesgo poblacional a través de dos</w:t>
      </w:r>
      <w:r>
        <w:t xml:space="preserve"> </w:t>
      </w:r>
      <w:r>
        <w:t xml:space="preserve">“</w:t>
      </w:r>
      <w:r>
        <w:t xml:space="preserve">estrategias</w:t>
      </w:r>
      <w:r>
        <w:t xml:space="preserve">”</w:t>
      </w:r>
      <w:r>
        <w:t xml:space="preserve"> </w:t>
      </w:r>
      <w:r>
        <w:t xml:space="preserve">evolutivas distintas. Esto sugiere que la curva Kuchenbaecker es una</w:t>
      </w:r>
      <w:r>
        <w:t xml:space="preserve"> </w:t>
      </w:r>
      <w:r>
        <w:rPr>
          <w:bCs/>
          <w:b/>
        </w:rPr>
        <w:t xml:space="preserve">curva marginal</w:t>
      </w:r>
      <w:r>
        <w:t xml:space="preserve"> </w:t>
      </w:r>
      <w:r>
        <w:t xml:space="preserve">que integra subpoblaciones heterogéneas, no la descripción de un único mecanismo.</w:t>
      </w:r>
    </w:p>
    <w:p>
      <w:r>
        <w:pict>
          <v:rect style="width:0;height:1.5pt" o:hralign="center" o:hrstd="t" o:hr="t"/>
        </w:pict>
      </w:r>
    </w:p>
    <w:bookmarkEnd w:id="31"/>
    <w:bookmarkEnd w:id="32"/>
    <w:bookmarkStart w:id="35" w:name="Xade3f302fdbfb74316ec04441d3d5dcdbe8c206"/>
    <w:p>
      <w:pPr>
        <w:pStyle w:val="Heading2"/>
      </w:pPr>
      <w:r>
        <w:t xml:space="preserve">(vii) Clustering fenotípico: dos subtipos de crecimiento</w:t>
      </w:r>
    </w:p>
    <w:bookmarkStart w:id="33" w:name="identificación-de-fenotipos"/>
    <w:p>
      <w:pPr>
        <w:pStyle w:val="Heading3"/>
      </w:pPr>
      <w:r>
        <w:t xml:space="preserve">Identificación de fenotipos</w:t>
      </w:r>
    </w:p>
    <w:p>
      <w:pPr>
        <w:pStyle w:val="FirstParagraph"/>
      </w:pPr>
      <w:r>
        <w:t xml:space="preserve">K-means (k=2) sobre (δ_low, ν, β_BRCA1) estandarizadas:</w:t>
      </w:r>
    </w:p>
    <w:tbl>
      <w:tblPr>
        <w:tblStyle w:val="Table"/>
        <w:tblW w:type="pct" w:w="5000"/>
        <w:tblLook w:firstRow="1" w:lastRow="0" w:firstColumn="0" w:lastColumn="0" w:noHBand="0" w:noVBand="0" w:val="0020"/>
        <w:jc w:val="start"/>
      </w:tblPr>
      <w:tblGrid>
        <w:gridCol w:w="889"/>
        <w:gridCol w:w="266"/>
        <w:gridCol w:w="1690"/>
        <w:gridCol w:w="1334"/>
        <w:gridCol w:w="1957"/>
        <w:gridCol w:w="1779"/>
      </w:tblGrid>
      <w:tr>
        <w:trPr>
          <w:tblHeader w:val="true"/>
        </w:trPr>
        <w:tc>
          <w:tcPr/>
          <w:p>
            <w:pPr>
              <w:pStyle w:val="Compact"/>
              <w:jc w:val="left"/>
            </w:pPr>
            <w:r>
              <w:t xml:space="preserve">Fenotipo</w:t>
            </w:r>
          </w:p>
        </w:tc>
        <w:tc>
          <w:tcPr/>
          <w:p>
            <w:pPr>
              <w:pStyle w:val="Compact"/>
              <w:jc w:val="left"/>
            </w:pPr>
            <w:r>
              <w:t xml:space="preserve">N</w:t>
            </w:r>
          </w:p>
        </w:tc>
        <w:tc>
          <w:tcPr/>
          <w:p>
            <w:pPr>
              <w:pStyle w:val="Compact"/>
              <w:jc w:val="left"/>
            </w:pPr>
            <w:r>
              <w:t xml:space="preserve">δ_low (media±std)</w:t>
            </w:r>
          </w:p>
        </w:tc>
        <w:tc>
          <w:tcPr/>
          <w:p>
            <w:pPr>
              <w:pStyle w:val="Compact"/>
              <w:jc w:val="left"/>
            </w:pPr>
            <w:r>
              <w:t xml:space="preserve">ν (media±std)</w:t>
            </w:r>
          </w:p>
        </w:tc>
        <w:tc>
          <w:tcPr/>
          <w:p>
            <w:pPr>
              <w:pStyle w:val="Compact"/>
              <w:jc w:val="left"/>
            </w:pPr>
            <w:r>
              <w:t xml:space="preserve">β_BRCA1 (media±std)</w:t>
            </w:r>
          </w:p>
        </w:tc>
        <w:tc>
          <w:tcPr/>
          <w:p>
            <w:pPr>
              <w:pStyle w:val="Compact"/>
              <w:jc w:val="left"/>
            </w:pPr>
            <w:r>
              <w:t xml:space="preserve">δ_high (media±std)</w:t>
            </w:r>
          </w:p>
        </w:tc>
      </w:tr>
      <w:tr>
        <w:tc>
          <w:tcPr/>
          <w:p>
            <w:pPr>
              <w:pStyle w:val="Compact"/>
              <w:jc w:val="left"/>
            </w:pPr>
            <w:r>
              <w:rPr>
                <w:bCs/>
                <w:b/>
              </w:rPr>
              <w:t xml:space="preserve">A — Agresivo</w:t>
            </w:r>
          </w:p>
        </w:tc>
        <w:tc>
          <w:tcPr/>
          <w:p>
            <w:pPr>
              <w:pStyle w:val="Compact"/>
              <w:jc w:val="left"/>
            </w:pPr>
            <w:r>
              <w:t xml:space="preserve">83</w:t>
            </w:r>
          </w:p>
        </w:tc>
        <w:tc>
          <w:tcPr/>
          <w:p>
            <w:pPr>
              <w:pStyle w:val="Compact"/>
              <w:jc w:val="left"/>
            </w:pPr>
            <w:r>
              <w:t xml:space="preserve">0.096 ± 0.009</w:t>
            </w:r>
          </w:p>
        </w:tc>
        <w:tc>
          <w:tcPr/>
          <w:p>
            <w:pPr>
              <w:pStyle w:val="Compact"/>
              <w:jc w:val="left"/>
            </w:pPr>
            <w:r>
              <w:t xml:space="preserve">0.191 ± 0.027</w:t>
            </w:r>
          </w:p>
        </w:tc>
        <w:tc>
          <w:tcPr/>
          <w:p>
            <w:pPr>
              <w:pStyle w:val="Compact"/>
              <w:jc w:val="left"/>
            </w:pPr>
            <w:r>
              <w:t xml:space="preserve">0.0429 ± 0.0034</w:t>
            </w:r>
          </w:p>
        </w:tc>
        <w:tc>
          <w:tcPr/>
          <w:p>
            <w:pPr>
              <w:pStyle w:val="Compact"/>
              <w:jc w:val="left"/>
            </w:pPr>
            <w:r>
              <w:t xml:space="preserve">0.360 ± 0.130</w:t>
            </w:r>
          </w:p>
        </w:tc>
      </w:tr>
      <w:tr>
        <w:tc>
          <w:tcPr/>
          <w:p>
            <w:pPr>
              <w:pStyle w:val="Compact"/>
              <w:jc w:val="left"/>
            </w:pPr>
            <w:r>
              <w:rPr>
                <w:bCs/>
                <w:b/>
              </w:rPr>
              <w:t xml:space="preserve">B — Basal</w:t>
            </w:r>
          </w:p>
        </w:tc>
        <w:tc>
          <w:tcPr/>
          <w:p>
            <w:pPr>
              <w:pStyle w:val="Compact"/>
              <w:jc w:val="left"/>
            </w:pPr>
            <w:r>
              <w:t xml:space="preserve">117</w:t>
            </w:r>
          </w:p>
        </w:tc>
        <w:tc>
          <w:tcPr/>
          <w:p>
            <w:pPr>
              <w:pStyle w:val="Compact"/>
              <w:jc w:val="left"/>
            </w:pPr>
            <w:r>
              <w:t xml:space="preserve">0.117 ± 0.015</w:t>
            </w:r>
          </w:p>
        </w:tc>
        <w:tc>
          <w:tcPr/>
          <w:p>
            <w:pPr>
              <w:pStyle w:val="Compact"/>
              <w:jc w:val="left"/>
            </w:pPr>
            <w:r>
              <w:t xml:space="preserve">0.129 ± 0.021</w:t>
            </w:r>
          </w:p>
        </w:tc>
        <w:tc>
          <w:tcPr/>
          <w:p>
            <w:pPr>
              <w:pStyle w:val="Compact"/>
              <w:jc w:val="left"/>
            </w:pPr>
            <w:r>
              <w:t xml:space="preserve">0.0460 ± 0.0034</w:t>
            </w:r>
          </w:p>
        </w:tc>
        <w:tc>
          <w:tcPr/>
          <w:p>
            <w:pPr>
              <w:pStyle w:val="Compact"/>
              <w:jc w:val="left"/>
            </w:pPr>
            <w:r>
              <w:t xml:space="preserve">0.347 ± 0.118</w:t>
            </w:r>
          </w:p>
        </w:tc>
      </w:tr>
    </w:tbl>
    <w:p>
      <w:pPr>
        <w:pStyle w:val="BodyText"/>
      </w:pPr>
      <w:r>
        <w:t xml:space="preserve">β_BRCA1 y δ_high no difieren significativamente entre fenotipos.</w:t>
      </w:r>
    </w:p>
    <w:bookmarkEnd w:id="33"/>
    <w:bookmarkStart w:id="34" w:name="interpretación-biológica"/>
    <w:p>
      <w:pPr>
        <w:pStyle w:val="Heading3"/>
      </w:pPr>
      <w:r>
        <w:t xml:space="preserve">Interpretación biológica</w:t>
      </w:r>
    </w:p>
    <w:p>
      <w:pPr>
        <w:pStyle w:val="FirstParagraph"/>
      </w:pPr>
      <w:r>
        <w:rPr>
          <w:bCs/>
          <w:b/>
        </w:rPr>
        <w:t xml:space="preserve">Fenotipo A —</w:t>
      </w:r>
      <w:r>
        <w:rPr>
          <w:bCs/>
          <w:b/>
        </w:rPr>
        <w:t xml:space="preserve"> </w:t>
      </w:r>
      <w:r>
        <w:rPr>
          <w:bCs/>
          <w:b/>
        </w:rPr>
        <w:t xml:space="preserve">“</w:t>
      </w:r>
      <w:r>
        <w:rPr>
          <w:bCs/>
          <w:b/>
        </w:rPr>
        <w:t xml:space="preserve">Agresivo por escape</w:t>
      </w:r>
      <w:r>
        <w:rPr>
          <w:bCs/>
          <w:b/>
        </w:rPr>
        <w:t xml:space="preserve">”</w:t>
      </w:r>
    </w:p>
    <w:p>
      <w:pPr>
        <w:numPr>
          <w:ilvl w:val="0"/>
          <w:numId w:val="1002"/>
        </w:numPr>
        <w:pStyle w:val="Compact"/>
      </w:pPr>
      <w:r>
        <w:t xml:space="preserve">δ_low ≈ 0.096: barrera apoptótica intrínseca débil → el tejido acumula células con daño subumbral sin eliminarlas eficientemente.</w:t>
      </w:r>
    </w:p>
    <w:p>
      <w:pPr>
        <w:numPr>
          <w:ilvl w:val="0"/>
          <w:numId w:val="1002"/>
        </w:numPr>
        <w:pStyle w:val="Compact"/>
      </w:pPr>
      <w:r>
        <w:t xml:space="preserve">ν ≈ 0.191: cuando una célula cruza θ_D1 (PRIMER), se divide a alta frecuencia.</w:t>
      </w:r>
    </w:p>
    <w:p>
      <w:pPr>
        <w:numPr>
          <w:ilvl w:val="0"/>
          <w:numId w:val="1002"/>
        </w:numPr>
        <w:pStyle w:val="Compact"/>
      </w:pPr>
      <w:r>
        <w:rPr>
          <w:bCs/>
          <w:b/>
        </w:rPr>
        <w:t xml:space="preserve">Dinámica:</w:t>
      </w:r>
      <w:r>
        <w:t xml:space="preserve"> </w:t>
      </w:r>
      <w:r>
        <w:t xml:space="preserve">la iniciación tumoral es un evento raro, pero cuando ocurre, el clon neoplásico tiene pocos competidores y alta ν → colonización rápida del tejido.</w:t>
      </w:r>
    </w:p>
    <w:p>
      <w:pPr>
        <w:pStyle w:val="BlockText"/>
      </w:pPr>
      <w:r>
        <w:rPr>
          <w:bCs/>
          <w:b/>
        </w:rPr>
        <w:t xml:space="preserve">[Anotación]</w:t>
      </w:r>
      <w:r>
        <w:t xml:space="preserve"> </w:t>
      </w:r>
      <w:r>
        <w:rPr>
          <w:iCs/>
          <w:i/>
        </w:rPr>
        <w:t xml:space="preserve">Observaciones: Esto puede deberse a la acumulación de mutaciones y tejidos menores que derivan en tejidos tumorales más agresivos. Una interpretación es que estos tumores sean esporádicos, heterogéneos y derivados de cambios somáticos.</w:t>
      </w:r>
    </w:p>
    <w:p>
      <w:pPr>
        <w:pStyle w:val="BlockText"/>
      </w:pPr>
      <w:r>
        <w:rPr>
          <w:bCs/>
          <w:b/>
        </w:rPr>
        <w:t xml:space="preserve">[Respuesta]</w:t>
      </w:r>
      <w:r>
        <w:t xml:space="preserve"> </w:t>
      </w:r>
      <w:r>
        <w:t xml:space="preserve">Interpretación biológicamente muy plausible y bien alineada con el modelo. En la literatura, los tumores BRCA1 con δ_low bajo corresponderían a los</w:t>
      </w:r>
      <w:r>
        <w:t xml:space="preserve"> </w:t>
      </w:r>
      <w:r>
        <w:rPr>
          <w:bCs/>
          <w:b/>
        </w:rPr>
        <w:t xml:space="preserve">tumores basales triple-negativos de alta proliferación</w:t>
      </w:r>
      <w:r>
        <w:t xml:space="preserve"> </w:t>
      </w:r>
      <w:r>
        <w:t xml:space="preserve">(subtipo molecular más frecuente en portadoras BRCA1), que presentan precisamente: heterogeneidad intratumoral elevada, alta carga mutacional somática, y un patrón de crecimiento explosivo tras la pérdida de heterocigosidad (LOH). La caracterización de</w:t>
      </w:r>
      <w:r>
        <w:t xml:space="preserve"> </w:t>
      </w:r>
      <w:r>
        <w:t xml:space="preserve">“</w:t>
      </w:r>
      <w:r>
        <w:t xml:space="preserve">esporádico</w:t>
      </w:r>
      <w:r>
        <w:t xml:space="preserve">”</w:t>
      </w:r>
      <w:r>
        <w:t xml:space="preserve"> </w:t>
      </w:r>
      <w:r>
        <w:t xml:space="preserve">en el sentido de que el evento de iniciación puede ocurrir en cualquier célula del tejido (no hay una célula</w:t>
      </w:r>
      <w:r>
        <w:t xml:space="preserve"> </w:t>
      </w:r>
      <w:r>
        <w:t xml:space="preserve">“</w:t>
      </w:r>
      <w:r>
        <w:t xml:space="preserve">predestinada</w:t>
      </w:r>
      <w:r>
        <w:t xml:space="preserve">”</w:t>
      </w:r>
      <w:r>
        <w:t xml:space="preserve">) es correcta dentro del marco del modelo.</w:t>
      </w:r>
      <w:r>
        <w:t xml:space="preserve"> </w:t>
      </w:r>
      <w:r>
        <w:rPr>
          <w:bCs/>
          <w:b/>
        </w:rPr>
        <w:t xml:space="preserve">Sugerencia:</w:t>
      </w:r>
      <w:r>
        <w:t xml:space="preserve"> </w:t>
      </w:r>
      <w:r>
        <w:t xml:space="preserve">ampliar este punto con la referencia al subtipo BRCA1-basal-like en la literatura (Foulkes et al., Nature Reviews Cancer, 2010) para dar contexto clínico al fenotipo A.</w:t>
      </w:r>
    </w:p>
    <w:p>
      <w:pPr>
        <w:pStyle w:val="FirstParagraph"/>
      </w:pPr>
      <w:r>
        <w:rPr>
          <w:bCs/>
          <w:b/>
        </w:rPr>
        <w:t xml:space="preserve">Fenotipo B —</w:t>
      </w:r>
      <w:r>
        <w:rPr>
          <w:bCs/>
          <w:b/>
        </w:rPr>
        <w:t xml:space="preserve"> </w:t>
      </w:r>
      <w:r>
        <w:rPr>
          <w:bCs/>
          <w:b/>
        </w:rPr>
        <w:t xml:space="preserve">“</w:t>
      </w:r>
      <w:r>
        <w:rPr>
          <w:bCs/>
          <w:b/>
        </w:rPr>
        <w:t xml:space="preserve">Basal por inevitabilidad</w:t>
      </w:r>
      <w:r>
        <w:rPr>
          <w:bCs/>
          <w:b/>
        </w:rPr>
        <w:t xml:space="preserve">”</w:t>
      </w:r>
    </w:p>
    <w:p>
      <w:pPr>
        <w:numPr>
          <w:ilvl w:val="0"/>
          <w:numId w:val="1003"/>
        </w:numPr>
        <w:pStyle w:val="Compact"/>
      </w:pPr>
      <w:r>
        <w:t xml:space="preserve">δ_low ≈ 0.117: mayor presión selectiva → el tejido elimina activamente células dañadas.</w:t>
      </w:r>
    </w:p>
    <w:p>
      <w:pPr>
        <w:numPr>
          <w:ilvl w:val="0"/>
          <w:numId w:val="1003"/>
        </w:numPr>
        <w:pStyle w:val="Compact"/>
      </w:pPr>
      <w:r>
        <w:t xml:space="preserve">ν ≈ 0.129: el clon neoplásico crece más despacio una vez establecido.</w:t>
      </w:r>
    </w:p>
    <w:p>
      <w:pPr>
        <w:numPr>
          <w:ilvl w:val="0"/>
          <w:numId w:val="1003"/>
        </w:numPr>
        <w:pStyle w:val="Compact"/>
      </w:pPr>
      <w:r>
        <w:rPr>
          <w:bCs/>
          <w:b/>
        </w:rPr>
        <w:t xml:space="preserve">Dinámica:</w:t>
      </w:r>
      <w:r>
        <w:t xml:space="preserve"> </w:t>
      </w:r>
      <w:r>
        <w:t xml:space="preserve">la eliminación continua acelera el agotamiento de la reserva de daño acumulado en el tejido sano, haciendo que el umbral D2 se alcance más gradualmente pero de forma inexorable.</w:t>
      </w:r>
    </w:p>
    <w:p>
      <w:pPr>
        <w:pStyle w:val="BlockText"/>
      </w:pPr>
      <w:r>
        <w:rPr>
          <w:bCs/>
          <w:b/>
        </w:rPr>
        <w:t xml:space="preserve">[Anotación]</w:t>
      </w:r>
      <w:r>
        <w:t xml:space="preserve"> </w:t>
      </w:r>
      <w:r>
        <w:rPr>
          <w:iCs/>
          <w:i/>
        </w:rPr>
        <w:t xml:space="preserve">Observaciones: Este es un escenario donde la estructura genómica germinal del tejido es más inestable, acumulando más mutaciones y provocando que haya un continuo de células mutadas que van subiendo los D1 y D2 de forma general.</w:t>
      </w:r>
    </w:p>
    <w:p>
      <w:pPr>
        <w:pStyle w:val="BlockText"/>
      </w:pPr>
      <w:r>
        <w:rPr>
          <w:bCs/>
          <w:b/>
        </w:rPr>
        <w:t xml:space="preserve">[Respuesta]</w:t>
      </w:r>
      <w:r>
        <w:t xml:space="preserve"> </w:t>
      </w:r>
      <w:r>
        <w:t xml:space="preserve">Correcto y bien descrito. Puntualización técnica importante: en el Fenotipo B la</w:t>
      </w:r>
      <w:r>
        <w:t xml:space="preserve"> </w:t>
      </w:r>
      <w:r>
        <w:t xml:space="preserve">“</w:t>
      </w:r>
      <w:r>
        <w:t xml:space="preserve">inestabilidad germinal</w:t>
      </w:r>
      <w:r>
        <w:t xml:space="preserve">”</w:t>
      </w:r>
      <w:r>
        <w:t xml:space="preserve"> </w:t>
      </w:r>
      <w:r>
        <w:t xml:space="preserve">no es mayor en términos de β_BRCA1 (que no difiere entre fenotipos), sino en términos de δ_low más alto, que genera una</w:t>
      </w:r>
      <w:r>
        <w:t xml:space="preserve"> </w:t>
      </w:r>
      <w:r>
        <w:rPr>
          <w:bCs/>
          <w:b/>
        </w:rPr>
        <w:t xml:space="preserve">tasa de acumulación de daño D2 más rápida en cada célula individual</w:t>
      </w:r>
      <w:r>
        <w:t xml:space="preserve">. La consecuencia es exactamente la que describes: hay un</w:t>
      </w:r>
      <w:r>
        <w:t xml:space="preserve"> </w:t>
      </w:r>
      <w:r>
        <w:t xml:space="preserve">“</w:t>
      </w:r>
      <w:r>
        <w:t xml:space="preserve">continuo de células</w:t>
      </w:r>
      <w:r>
        <w:t xml:space="preserve">”</w:t>
      </w:r>
      <w:r>
        <w:t xml:space="preserve"> </w:t>
      </w:r>
      <w:r>
        <w:t xml:space="preserve">que suben D1/D2 progresivamente, generando un frente difuso de daño en lugar de un evento puntual. Esto es coherente con el concepto de</w:t>
      </w:r>
      <w:r>
        <w:t xml:space="preserve"> </w:t>
      </w:r>
      <w:r>
        <w:rPr>
          <w:bCs/>
          <w:b/>
        </w:rPr>
        <w:t xml:space="preserve">campo canceroso</w:t>
      </w:r>
      <w:r>
        <w:t xml:space="preserve"> </w:t>
      </w:r>
      <w:r>
        <w:t xml:space="preserve">(</w:t>
      </w:r>
      <w:r>
        <w:rPr>
          <w:iCs/>
          <w:i/>
        </w:rPr>
        <w:t xml:space="preserve">field cancerization</w:t>
      </w:r>
      <w:r>
        <w:t xml:space="preserve">): el tejido entero se va comprometiendo gradualmente antes de que aparezca un clon dominante. La referencia canónica es Slaughter et al. (1953), aunque el concepto moderno en BRCA1 se describe en Deng &amp; Brodie (2000).</w:t>
      </w:r>
      <w:r>
        <w:t xml:space="preserve"> </w:t>
      </w:r>
      <w:r>
        <w:rPr>
          <w:bCs/>
          <w:b/>
        </w:rPr>
        <w:t xml:space="preserve">Propuesta:</w:t>
      </w:r>
      <w:r>
        <w:t xml:space="preserve"> </w:t>
      </w:r>
      <w:r>
        <w:t xml:space="preserve">añadir</w:t>
      </w:r>
      <w:r>
        <w:t xml:space="preserve"> </w:t>
      </w:r>
      <w:r>
        <w:t xml:space="preserve">“</w:t>
      </w:r>
      <w:r>
        <w:t xml:space="preserve">campo canceroso</w:t>
      </w:r>
      <w:r>
        <w:t xml:space="preserve">”</w:t>
      </w:r>
      <w:r>
        <w:t xml:space="preserve"> </w:t>
      </w:r>
      <w:r>
        <w:t xml:space="preserve">como término técnico para este fenotipo en la descripción.</w:t>
      </w:r>
    </w:p>
    <w:p>
      <w:r>
        <w:pict>
          <v:rect style="width:0;height:1.5pt" o:hralign="center" o:hrstd="t" o:hr="t"/>
        </w:pict>
      </w:r>
    </w:p>
    <w:bookmarkEnd w:id="34"/>
    <w:bookmarkEnd w:id="35"/>
    <w:bookmarkStart w:id="36" w:name="viii-agresividad-onset-vs.-saturación"/>
    <w:p>
      <w:pPr>
        <w:pStyle w:val="Heading2"/>
      </w:pPr>
      <w:r>
        <w:t xml:space="preserve">(viii) Agresividad: onset vs. saturación</w:t>
      </w:r>
    </w:p>
    <w:tbl>
      <w:tblPr>
        <w:tblStyle w:val="Table"/>
        <w:tblW w:type="pct" w:w="5000"/>
        <w:tblLook w:firstRow="1" w:lastRow="0" w:firstColumn="0" w:lastColumn="0" w:noHBand="0" w:noVBand="0" w:val="0020"/>
        <w:jc w:val="start"/>
      </w:tblPr>
      <w:tblGrid>
        <w:gridCol w:w="1208"/>
        <w:gridCol w:w="2953"/>
        <w:gridCol w:w="2550"/>
        <w:gridCol w:w="1208"/>
      </w:tblGrid>
      <w:tr>
        <w:trPr>
          <w:tblHeader w:val="true"/>
        </w:trPr>
        <w:tc>
          <w:tcPr/>
          <w:p>
            <w:pPr>
              <w:pStyle w:val="Compact"/>
              <w:jc w:val="left"/>
            </w:pPr>
            <w:r>
              <w:t xml:space="preserve">Métrica</w:t>
            </w:r>
          </w:p>
        </w:tc>
        <w:tc>
          <w:tcPr/>
          <w:p>
            <w:pPr>
              <w:pStyle w:val="Compact"/>
              <w:jc w:val="left"/>
            </w:pPr>
            <w:r>
              <w:t xml:space="preserve">Fenotipo A (Agresivo)</w:t>
            </w:r>
          </w:p>
        </w:tc>
        <w:tc>
          <w:tcPr/>
          <w:p>
            <w:pPr>
              <w:pStyle w:val="Compact"/>
              <w:jc w:val="left"/>
            </w:pPr>
            <w:r>
              <w:t xml:space="preserve">Fenotipo B (Basal)</w:t>
            </w:r>
          </w:p>
        </w:tc>
        <w:tc>
          <w:tcPr/>
          <w:p>
            <w:pPr>
              <w:pStyle w:val="Compact"/>
              <w:jc w:val="left"/>
            </w:pPr>
            <w:r>
              <w:t xml:space="preserve">p-valor</w:t>
            </w:r>
          </w:p>
        </w:tc>
      </w:tr>
      <w:tr>
        <w:tc>
          <w:tcPr/>
          <w:p>
            <w:pPr>
              <w:pStyle w:val="Compact"/>
              <w:jc w:val="left"/>
            </w:pPr>
            <w:r>
              <w:t xml:space="preserve">onset_age (5% TUMORAL)</w:t>
            </w:r>
          </w:p>
        </w:tc>
        <w:tc>
          <w:tcPr/>
          <w:p>
            <w:pPr>
              <w:pStyle w:val="Compact"/>
              <w:jc w:val="left"/>
            </w:pPr>
            <w:r>
              <w:t xml:space="preserve">43.7 ± 1.5 años</w:t>
            </w:r>
          </w:p>
        </w:tc>
        <w:tc>
          <w:tcPr/>
          <w:p>
            <w:pPr>
              <w:pStyle w:val="Compact"/>
              <w:jc w:val="left"/>
            </w:pPr>
            <w:r>
              <w:t xml:space="preserve">43.5 ± 1.4 años</w:t>
            </w:r>
          </w:p>
        </w:tc>
        <w:tc>
          <w:tcPr/>
          <w:p>
            <w:pPr>
              <w:pStyle w:val="Compact"/>
              <w:jc w:val="left"/>
            </w:pPr>
            <w:r>
              <w:t xml:space="preserve">0.25 ❌</w:t>
            </w:r>
          </w:p>
        </w:tc>
      </w:tr>
      <w:tr>
        <w:tc>
          <w:tcPr/>
          <w:p>
            <w:pPr>
              <w:pStyle w:val="Compact"/>
              <w:jc w:val="left"/>
            </w:pPr>
            <w:r>
              <w:t xml:space="preserve">sat50 (50% células tumorales)</w:t>
            </w:r>
          </w:p>
        </w:tc>
        <w:tc>
          <w:tcPr/>
          <w:p>
            <w:pPr>
              <w:pStyle w:val="Compact"/>
              <w:jc w:val="left"/>
            </w:pPr>
            <w:r>
              <w:rPr>
                <w:bCs/>
                <w:b/>
              </w:rPr>
              <w:t xml:space="preserve">56.5 ± 1.9 años</w:t>
            </w:r>
          </w:p>
        </w:tc>
        <w:tc>
          <w:tcPr/>
          <w:p>
            <w:pPr>
              <w:pStyle w:val="Compact"/>
              <w:jc w:val="left"/>
            </w:pPr>
            <w:r>
              <w:rPr>
                <w:bCs/>
                <w:b/>
              </w:rPr>
              <w:t xml:space="preserve">59.3 ± 2.3 años</w:t>
            </w:r>
          </w:p>
        </w:tc>
        <w:tc>
          <w:tcPr/>
          <w:p>
            <w:pPr>
              <w:pStyle w:val="Compact"/>
              <w:jc w:val="left"/>
            </w:pPr>
            <w:r>
              <w:t xml:space="preserve">&lt;0.001 ✅</w:t>
            </w:r>
          </w:p>
        </w:tc>
      </w:tr>
    </w:tbl>
    <w:p>
      <w:pPr>
        <w:pStyle w:val="BodyText"/>
      </w:pPr>
      <w:r>
        <w:rPr>
          <w:bCs/>
          <w:b/>
        </w:rPr>
        <w:t xml:space="preserve">Interpretación:</w:t>
      </w:r>
      <w:r>
        <w:t xml:space="preserve"> </w:t>
      </w:r>
      <w:r>
        <w:t xml:space="preserve">δ_low controla la</w:t>
      </w:r>
      <w:r>
        <w:t xml:space="preserve"> </w:t>
      </w:r>
      <w:r>
        <w:rPr>
          <w:bCs/>
          <w:b/>
        </w:rPr>
        <w:t xml:space="preserve">velocidad de expansión clonal</w:t>
      </w:r>
      <w:r>
        <w:t xml:space="preserve">, no el momento de iniciación. El Fenotipo A alcanza el 50% de saturación tisular ~3 años antes. La distinción emerge solo al observar sat50 (p&lt;0.001), no onset (p=0.25).</w:t>
      </w:r>
    </w:p>
    <w:p>
      <w:r>
        <w:pict>
          <v:rect style="width:0;height:1.5pt" o:hralign="center" o:hrstd="t" o:hr="t"/>
        </w:pict>
      </w:r>
    </w:p>
    <w:bookmarkEnd w:id="36"/>
    <w:bookmarkStart w:id="37" w:name="Xb113456e6b174b21c3eaf3df5118707ce99b9cf"/>
    <w:p>
      <w:pPr>
        <w:pStyle w:val="Heading2"/>
      </w:pPr>
      <w:r>
        <w:t xml:space="preserve">(ix) Nota sobre δ_low y δ_high: interpretación mecanicista</w:t>
      </w:r>
    </w:p>
    <w:p>
      <w:pPr>
        <w:pStyle w:val="BlockText"/>
      </w:pPr>
      <w:r>
        <w:rPr>
          <w:bCs/>
          <w:b/>
        </w:rPr>
        <w:t xml:space="preserve">Hipótesis:</w:t>
      </w:r>
      <w:r>
        <w:t xml:space="preserve"> </w:t>
      </w:r>
      <w:r>
        <w:t xml:space="preserve">δ_low controla la barrera de apoptosis celular intrínseca (vía BRCA1 heterocigota) y δ_high la vía extrínseca del sistema inmune tisular (estado homocigoto).</w:t>
      </w:r>
    </w:p>
    <w:p>
      <w:pPr>
        <w:pStyle w:val="FirstParagraph"/>
      </w:pPr>
      <w:r>
        <w:rPr>
          <w:bCs/>
          <w:b/>
        </w:rPr>
        <w:t xml:space="preserve">Lo que dice el código</w:t>
      </w:r>
      <w:r>
        <w:t xml:space="preserve"> </w:t>
      </w:r>
      <w:r>
        <w:t xml:space="preserve">(</w:t>
      </w:r>
      <w:r>
        <w:rPr>
          <w:rStyle w:val="VerbatimChar"/>
        </w:rPr>
        <w:t xml:space="preserve">GenomicInstabilityDeltaStrategy.cpp</w:t>
      </w:r>
      <w:r>
        <w:t xml:space="preserve">):</w:t>
      </w:r>
    </w:p>
    <w:p>
      <w:pPr>
        <w:pStyle w:val="SourceCode"/>
      </w:pPr>
      <w:r>
        <w:rPr>
          <w:rStyle w:val="VerbatimChar"/>
        </w:rPr>
        <w:t xml:space="preserve">delta_d1 = delta_tp53 + age_factor              // D1: solo TP53</w:t>
      </w:r>
      <w:r>
        <w:br/>
      </w:r>
      <w:r>
        <w:rPr>
          <w:rStyle w:val="VerbatimChar"/>
        </w:rPr>
        <w:t xml:space="preserve">delta_d2 = delta_tp53 + delta_brca1 + age_factor // D2: TP53 + BRCA1</w:t>
      </w:r>
    </w:p>
    <w:p>
      <w:pPr>
        <w:pStyle w:val="FirstParagraph"/>
      </w:pPr>
      <w:r>
        <w:t xml:space="preserve">Los deltas son factores de escala por</w:t>
      </w:r>
      <w:r>
        <w:t xml:space="preserve"> </w:t>
      </w:r>
      <w:r>
        <w:rPr>
          <w:bCs/>
          <w:b/>
        </w:rPr>
        <w:t xml:space="preserve">estado cigótico</w:t>
      </w:r>
      <w:r>
        <w:t xml:space="preserve"> </w:t>
      </w:r>
      <w:r>
        <w:t xml:space="preserve">(no por vía de señalización). En la práctica, δ_low captura el ritmo de la vía extrínseca (BRCA1 +/- → D2) y δ_high el salto cuando BRCA1 pierde el segundo alelo (-/-), acelerando D2 × 2. Los umbrales (D1=2.0, D2=5.0) son las barreras de contención; los deltas son la velocidad del daño.</w:t>
      </w:r>
    </w:p>
    <w:p>
      <w:r>
        <w:pict>
          <v:rect style="width:0;height:1.5pt" o:hralign="center" o:hrstd="t" o:hr="t"/>
        </w:pict>
      </w:r>
    </w:p>
    <w:bookmarkEnd w:id="37"/>
    <w:bookmarkStart w:id="38" w:name="resumen-del-proceso"/>
    <w:p>
      <w:pPr>
        <w:pStyle w:val="Heading2"/>
      </w:pPr>
      <w:r>
        <w:t xml:space="preserve">Resumen del proceso</w:t>
      </w:r>
    </w:p>
    <w:tbl>
      <w:tblPr>
        <w:tblStyle w:val="Table"/>
        <w:tblW w:type="pct" w:w="5000"/>
        <w:tblLook w:firstRow="1" w:lastRow="0" w:firstColumn="0" w:lastColumn="0" w:noHBand="0" w:noVBand="0" w:val="0020"/>
        <w:jc w:val="start"/>
      </w:tblPr>
      <w:tblGrid>
        <w:gridCol w:w="1320"/>
        <w:gridCol w:w="2860"/>
        <w:gridCol w:w="3740"/>
      </w:tblGrid>
      <w:tr>
        <w:trPr>
          <w:tblHeader w:val="true"/>
        </w:trPr>
        <w:tc>
          <w:tcPr/>
          <w:p>
            <w:pPr>
              <w:pStyle w:val="Compact"/>
              <w:jc w:val="left"/>
            </w:pPr>
            <w:r>
              <w:t xml:space="preserve">Fase</w:t>
            </w:r>
          </w:p>
        </w:tc>
        <w:tc>
          <w:tcPr/>
          <w:p>
            <w:pPr>
              <w:pStyle w:val="Compact"/>
              <w:jc w:val="left"/>
            </w:pPr>
            <w:r>
              <w:t xml:space="preserve">Descripción</w:t>
            </w:r>
          </w:p>
        </w:tc>
        <w:tc>
          <w:tcPr/>
          <w:p>
            <w:pPr>
              <w:pStyle w:val="Compact"/>
              <w:jc w:val="left"/>
            </w:pPr>
            <w:r>
              <w:t xml:space="preserve">Resultado clave</w:t>
            </w:r>
          </w:p>
        </w:tc>
      </w:tr>
      <w:tr>
        <w:tc>
          <w:tcPr/>
          <w:p>
            <w:pPr>
              <w:pStyle w:val="Compact"/>
              <w:jc w:val="left"/>
            </w:pPr>
            <w:r>
              <w:t xml:space="preserve">Gen 0</w:t>
            </w:r>
          </w:p>
        </w:tc>
        <w:tc>
          <w:tcPr/>
          <w:p>
            <w:pPr>
              <w:pStyle w:val="Compact"/>
              <w:jc w:val="left"/>
            </w:pPr>
            <w:r>
              <w:t xml:space="preserve">Muestreo del prior (rechazo ABC)</w:t>
            </w:r>
          </w:p>
        </w:tc>
        <w:tc>
          <w:tcPr/>
          <w:p>
            <w:pPr>
              <w:pStyle w:val="Compact"/>
              <w:jc w:val="left"/>
            </w:pPr>
            <w:r>
              <w:t xml:space="preserve">dist̄ = 13.50, ESS/N = 1.00</w:t>
            </w:r>
          </w:p>
        </w:tc>
      </w:tr>
      <w:tr>
        <w:tc>
          <w:tcPr/>
          <w:p>
            <w:pPr>
              <w:pStyle w:val="Compact"/>
              <w:jc w:val="left"/>
            </w:pPr>
            <w:r>
              <w:t xml:space="preserve">Gen 1–3</w:t>
            </w:r>
          </w:p>
        </w:tc>
        <w:tc>
          <w:tcPr/>
          <w:p>
            <w:pPr>
              <w:pStyle w:val="Compact"/>
              <w:jc w:val="left"/>
            </w:pPr>
            <w:r>
              <w:t xml:space="preserve">Refinamientos SMC</w:t>
            </w:r>
          </w:p>
        </w:tc>
        <w:tc>
          <w:tcPr/>
          <w:p>
            <w:pPr>
              <w:pStyle w:val="Compact"/>
              <w:jc w:val="left"/>
            </w:pPr>
            <w:r>
              <w:t xml:space="preserve">dist̄ = 9.98 → 5.54</w:t>
            </w:r>
          </w:p>
        </w:tc>
      </w:tr>
      <w:tr>
        <w:tc>
          <w:tcPr/>
          <w:p>
            <w:pPr>
              <w:pStyle w:val="Compact"/>
              <w:jc w:val="left"/>
            </w:pPr>
            <w:r>
              <w:t xml:space="preserve">Gen 4</w:t>
            </w:r>
          </w:p>
        </w:tc>
        <w:tc>
          <w:tcPr/>
          <w:p>
            <w:pPr>
              <w:pStyle w:val="Compact"/>
              <w:jc w:val="left"/>
            </w:pPr>
            <w:r>
              <w:t xml:space="preserve">Posterior final (ε = 6.20)</w:t>
            </w:r>
          </w:p>
        </w:tc>
        <w:tc>
          <w:tcPr/>
          <w:p>
            <w:pPr>
              <w:pStyle w:val="Compact"/>
              <w:jc w:val="left"/>
            </w:pPr>
            <w:r>
              <w:t xml:space="preserve">dist̄ = 4.45,</w:t>
            </w:r>
            <w:r>
              <w:t xml:space="preserve"> </w:t>
            </w:r>
            <w:r>
              <w:rPr>
                <w:bCs/>
                <w:b/>
              </w:rPr>
              <w:t xml:space="preserve">fit perfecto a Kuchenbaecker</w:t>
            </w:r>
          </w:p>
        </w:tc>
      </w:tr>
    </w:tbl>
    <w:p>
      <w:pPr>
        <w:pStyle w:val="BodyText"/>
      </w:pPr>
      <w:r>
        <w:rPr>
          <w:bCs/>
          <w:b/>
        </w:rPr>
        <w:t xml:space="preserve">Posterior final (Gen 4):</w:t>
      </w:r>
    </w:p>
    <w:p>
      <w:pPr>
        <w:pStyle w:val="SourceCode"/>
      </w:pPr>
      <w:r>
        <w:rPr>
          <w:rStyle w:val="VerbatimChar"/>
        </w:rPr>
        <w:t xml:space="preserve">β_BRCA1  = 0.0445 ± 0.0041   [IC95: 0.0372–0.0526]</w:t>
      </w:r>
      <w:r>
        <w:br/>
      </w:r>
      <w:r>
        <w:rPr>
          <w:rStyle w:val="VerbatimChar"/>
        </w:rPr>
        <w:t xml:space="preserve">δ_low    = 0.1093 ± 0.0189   [IC95: 0.0836–0.1468]</w:t>
      </w:r>
      <w:r>
        <w:br/>
      </w:r>
      <w:r>
        <w:rPr>
          <w:rStyle w:val="VerbatimChar"/>
        </w:rPr>
        <w:t xml:space="preserve">δ_high   = 0.3504 ± 0.1258   [IC95: 0.1498–0.5914]  ← sloppy</w:t>
      </w:r>
      <w:r>
        <w:br/>
      </w:r>
      <w:r>
        <w:rPr>
          <w:rStyle w:val="VerbatimChar"/>
        </w:rPr>
        <w:t xml:space="preserve">ν        = 0.1564 ± 0.0410   [IC95: 0.1015–0.2300]</w:t>
      </w:r>
      <w:r>
        <w:br/>
      </w:r>
      <w:r>
        <w:br/>
      </w:r>
      <w:r>
        <w:rPr>
          <w:rStyle w:val="VerbatimChar"/>
        </w:rPr>
        <w:t xml:space="preserve">r(δ_low, ν) = −0.609  (p &lt; 10⁻²¹)</w:t>
      </w:r>
    </w:p>
    <w:p>
      <w:pPr>
        <w:pStyle w:val="FirstParagraph"/>
      </w:pPr>
      <w:r>
        <w:rPr>
          <w:bCs/>
          <w:b/>
        </w:rPr>
        <w:t xml:space="preserve">Dos subtipos identificados:</w:t>
      </w:r>
    </w:p>
    <w:p>
      <w:pPr>
        <w:numPr>
          <w:ilvl w:val="0"/>
          <w:numId w:val="1004"/>
        </w:numPr>
        <w:pStyle w:val="Compact"/>
      </w:pPr>
      <w:r>
        <w:rPr>
          <w:bCs/>
          <w:b/>
        </w:rPr>
        <w:t xml:space="preserve">Fenotipo A (Agresivo):</w:t>
      </w:r>
      <w:r>
        <w:t xml:space="preserve"> </w:t>
      </w:r>
      <w:r>
        <w:t xml:space="preserve">δ_low = 0.096, ν = 0.191 — baja barrera → crecimiento explosivo; sat50 = 56.5 años. Consistent con BRCA1-basal-like triple negativo.</w:t>
      </w:r>
    </w:p>
    <w:p>
      <w:pPr>
        <w:numPr>
          <w:ilvl w:val="0"/>
          <w:numId w:val="1004"/>
        </w:numPr>
        <w:pStyle w:val="Compact"/>
      </w:pPr>
      <w:r>
        <w:rPr>
          <w:bCs/>
          <w:b/>
        </w:rPr>
        <w:t xml:space="preserve">Fenotipo B (Basal):</w:t>
      </w:r>
      <w:r>
        <w:t xml:space="preserve"> </w:t>
      </w:r>
      <w:r>
        <w:t xml:space="preserve">δ_low = 0.117, ν = 0.129 — campo canceroso gradual → acumulación inexorable; sat50 = 59.3 años.</w:t>
      </w:r>
    </w:p>
    <w:p>
      <w:r>
        <w:pict>
          <v:rect style="width:0;height:1.5pt" o:hralign="center" o:hrstd="t" o:hr="t"/>
        </w:pict>
      </w:r>
    </w:p>
    <w:p>
      <w:pPr>
        <w:pStyle w:val="FirstParagraph"/>
      </w:pPr>
      <w:r>
        <w:rPr>
          <w:iCs/>
          <w:i/>
        </w:rPr>
        <w:t xml:space="preserve">Figuras:</w:t>
      </w:r>
      <w:r>
        <w:rPr>
          <w:iCs/>
          <w:i/>
        </w:rPr>
        <w:t xml:space="preserve"> </w:t>
      </w:r>
      <w:r>
        <w:rPr>
          <w:rStyle w:val="VerbatimChar"/>
          <w:iCs/>
          <w:i/>
        </w:rPr>
        <w:t xml:space="preserve">docs/paper6/gen4_cdf_fit.png</w:t>
      </w:r>
      <w:r>
        <w:rPr>
          <w:iCs/>
          <w:i/>
        </w:rPr>
        <w:t xml:space="preserve">,</w:t>
      </w:r>
      <w:r>
        <w:rPr>
          <w:iCs/>
          <w:i/>
        </w:rPr>
        <w:t xml:space="preserve"> </w:t>
      </w:r>
      <w:r>
        <w:rPr>
          <w:rStyle w:val="VerbatimChar"/>
          <w:iCs/>
          <w:i/>
        </w:rPr>
        <w:t xml:space="preserve">gen4_pairwise.png</w:t>
      </w:r>
      <w:r>
        <w:rPr>
          <w:iCs/>
          <w:i/>
        </w:rPr>
        <w:t xml:space="preserve">,</w:t>
      </w:r>
      <w:r>
        <w:rPr>
          <w:iCs/>
          <w:i/>
        </w:rPr>
        <w:t xml:space="preserve"> </w:t>
      </w:r>
      <w:r>
        <w:rPr>
          <w:rStyle w:val="VerbatimChar"/>
          <w:iCs/>
          <w:i/>
        </w:rPr>
        <w:t xml:space="preserve">gen4_phenotypes.png</w:t>
      </w:r>
      <w:r>
        <w:rPr>
          <w:iCs/>
          <w:i/>
        </w:rPr>
        <w:t xml:space="preserve">,</w:t>
      </w:r>
      <w:r>
        <w:rPr>
          <w:iCs/>
          <w:i/>
        </w:rPr>
        <w:t xml:space="preserve"> </w:t>
      </w:r>
      <w:r>
        <w:rPr>
          <w:rStyle w:val="VerbatimChar"/>
          <w:iCs/>
          <w:i/>
        </w:rPr>
        <w:t xml:space="preserve">gen4_aggressiveness_3groups.png</w:t>
      </w:r>
      <w:r>
        <w:rPr>
          <w:iCs/>
          <w:i/>
        </w:rPr>
        <w:t xml:space="preserve">,</w:t>
      </w:r>
      <w:r>
        <w:rPr>
          <w:iCs/>
          <w:i/>
        </w:rPr>
        <w:t xml:space="preserve"> </w:t>
      </w:r>
      <w:r>
        <w:rPr>
          <w:rStyle w:val="VerbatimChar"/>
          <w:iCs/>
          <w:i/>
        </w:rPr>
        <w:t xml:space="preserve">gen4_posteriors.png</w:t>
      </w:r>
      <w:r>
        <w:t xml:space="preserve"> </w:t>
      </w:r>
      <w:r>
        <w:rPr>
          <w:iCs/>
          <w:i/>
        </w:rPr>
        <w:t xml:space="preserve">Datos:</w:t>
      </w:r>
      <w:r>
        <w:rPr>
          <w:iCs/>
          <w:i/>
        </w:rPr>
        <w:t xml:space="preserve"> </w:t>
      </w:r>
      <w:r>
        <w:rPr>
          <w:rStyle w:val="VerbatimChar"/>
          <w:iCs/>
          <w:i/>
        </w:rPr>
        <w:t xml:space="preserve">results/abc_corrected_v1/gen_04.csv</w:t>
      </w:r>
    </w:p>
    <w:bookmarkEnd w:id="38"/>
    <w:bookmarkEnd w:id="39"/>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lvlText w:val="%1."/>
      <w:lvlJc w:val="left"/>
      <w:pPr>
        <w:tabs>
          <w:tab w:pos="0" w:val="num"/>
        </w:tabs>
        <w:ind w:hanging="480" w:left="720"/>
      </w:pPr>
      <w:rPr/>
    </w:lvl>
    <w:lvl w:ilvl="1">
      <w:start w:val="1"/>
      <w:numFmt w:val="decimal"/>
      <w:lvlText w:val="%2."/>
      <w:lvlJc w:val="left"/>
      <w:pPr>
        <w:tabs>
          <w:tab w:pos="0" w:val="num"/>
        </w:tabs>
        <w:ind w:hanging="480" w:left="1440"/>
      </w:pPr>
      <w:rPr/>
    </w:lvl>
    <w:lvl w:ilvl="2">
      <w:start w:val="1"/>
      <w:numFmt w:val="decimal"/>
      <w:lvlText w:val="%3."/>
      <w:lvlJc w:val="left"/>
      <w:pPr>
        <w:tabs>
          <w:tab w:pos="0" w:val="num"/>
        </w:tabs>
        <w:ind w:hanging="480" w:left="2160"/>
      </w:pPr>
      <w:rPr/>
    </w:lvl>
    <w:lvl w:ilvl="3">
      <w:start w:val="1"/>
      <w:numFmt w:val="decimal"/>
      <w:lvlText w:val="%4."/>
      <w:lvlJc w:val="left"/>
      <w:pPr>
        <w:tabs>
          <w:tab w:pos="0" w:val="num"/>
        </w:tabs>
        <w:ind w:hanging="480" w:left="2880"/>
      </w:pPr>
      <w:rPr/>
    </w:lvl>
    <w:lvl w:ilvl="4">
      <w:start w:val="1"/>
      <w:numFmt w:val="decimal"/>
      <w:lvlText w:val="%5."/>
      <w:lvlJc w:val="left"/>
      <w:pPr>
        <w:tabs>
          <w:tab w:pos="0" w:val="num"/>
        </w:tabs>
        <w:ind w:hanging="480" w:left="3600"/>
      </w:pPr>
      <w:rPr/>
    </w:lvl>
    <w:lvl w:ilvl="5">
      <w:start w:val="1"/>
      <w:numFmt w:val="decimal"/>
      <w:lvlText w:val="%6."/>
      <w:lvlJc w:val="left"/>
      <w:pPr>
        <w:tabs>
          <w:tab w:pos="0" w:val="num"/>
        </w:tabs>
        <w:ind w:hanging="480" w:left="4320"/>
      </w:pPr>
      <w:rPr/>
    </w:lvl>
    <w:lvl w:ilvl="6">
      <w:start w:val="1"/>
      <w:numFmt w:val="decimal"/>
      <w:lvlText w:val="%7."/>
      <w:lvlJc w:val="left"/>
      <w:pPr>
        <w:tabs>
          <w:tab w:pos="0" w:val="num"/>
        </w:tabs>
        <w:ind w:hanging="480" w:left="5040"/>
      </w:pPr>
      <w:rPr/>
    </w:lvl>
    <w:lvl w:ilvl="7">
      <w:start w:val="1"/>
      <w:numFmt w:val="decimal"/>
      <w:lvlText w:val="%8."/>
      <w:lvlJc w:val="left"/>
      <w:pPr>
        <w:tabs>
          <w:tab w:pos="0" w:val="num"/>
        </w:tabs>
        <w:ind w:hanging="480" w:left="5760"/>
      </w:pPr>
      <w:rPr/>
    </w:lvl>
    <w:lvl w:ilvl="8">
      <w:start w:val="1"/>
      <w:numFmt w:val="decimal"/>
      <w:lvlText w:val="%9."/>
      <w:lvlJc w:val="left"/>
      <w:pPr>
        <w:tabs>
          <w:tab w:pos="0" w:val="num"/>
        </w:tabs>
        <w:ind w:hanging="480" w:left="6480"/>
      </w:pPr>
      <w:rPr/>
    </w:lvl>
  </w:abstractNum>
  <w:abstractNum w:abstractNumId="2">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3">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4">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5">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6">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00"/>
  <w:embedSystemFonts/>
  <w:defaultTabStop w:val="720"/>
  <w:autoHyphenation w:val="true"/>
  <w:compat>
    <w:compatSetting w:name="compatibilityMode" w:uri="http://schemas.microsoft.com/office/word" w:val="12"/>
  </w:compat>
  <w:themeFontLang w:bidi="" w:eastAsia=""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BodyText"/>
    <w:uiPriority w:val="9"/>
    <w:qFormat/>
    <w:pPr>
      <w:keepNext w:val="true"/>
      <w:keepLines/>
      <w:spacing w:after="0" w:before="480"/>
      <w:outlineLvl w:val="0"/>
    </w:pPr>
    <w:rPr>
      <w:rFonts w:ascii="Calibri" w:asciiTheme="majorHAnsi" w:cs="" w:cstheme="majorBidi" w:eastAsia=""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val="true"/>
      <w:keepLines/>
      <w:spacing w:after="0" w:before="200"/>
      <w:outlineLvl w:val="2"/>
    </w:pPr>
    <w:rPr>
      <w:rFonts w:ascii="Calibri" w:asciiTheme="majorHAnsi" w:cs="" w:cstheme="majorBidi" w:eastAsia=""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val="true"/>
      <w:keepLines/>
      <w:spacing w:after="0" w:before="200"/>
      <w:outlineLvl w:val="3"/>
    </w:pPr>
    <w:rPr>
      <w:rFonts w:ascii="Calibri" w:asciiTheme="majorHAnsi" w:cs="" w:cstheme="majorBidi" w:eastAsia="" w:eastAsiaTheme="majorEastAsia" w:hAnsi="Calibri" w:hAnsiTheme="majorHAnsi"/>
      <w:bCs/>
      <w:i/>
      <w:color w:themeColor="accent1" w:val="4F81BD"/>
      <w:sz w:val="24"/>
      <w:szCs w:val="24"/>
    </w:rPr>
  </w:style>
  <w:style w:styleId="Heading5" w:type="paragraph">
    <w:name w:val="Heading 5"/>
    <w:basedOn w:val="Normal"/>
    <w:next w:val="BodyText"/>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sz w:val="24"/>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Caracteresdenotaalpie" w:type="character">
    <w:name w:val="Caracteres de nota al pie"/>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Ttulo" w:type="paragraph">
    <w:name w:val="Título"/>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Noto Sans Devanagari"/>
    </w:rPr>
  </w:style>
  <w:style w:styleId="Caption" w:type="paragraph">
    <w:name w:val="Caption"/>
    <w:basedOn w:val="Normal"/>
    <w:link w:val="BodyTextChar"/>
    <w:qFormat/>
    <w:pPr>
      <w:spacing w:after="120" w:before="0"/>
    </w:pPr>
    <w:rPr>
      <w:i/>
    </w:rPr>
  </w:style>
  <w:style w:styleId="ndice" w:type="paragraph">
    <w:name w:val="Índice"/>
    <w:basedOn w:val="Normal"/>
    <w:qFormat/>
    <w:pPr>
      <w:suppressLineNumbers/>
    </w:pPr>
    <w:rPr>
      <w:rFonts w:cs="Noto Sans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pPr>
      <w:keepNext w:val="true"/>
      <w:keepLines/>
      <w:spacing w:after="240" w:before="480"/>
      <w:jc w:val="center"/>
    </w:pPr>
    <w:rPr>
      <w:rFonts w:ascii="Calibri" w:asciiTheme="majorHAnsi" w:cs="" w:cstheme="majorBidi" w:eastAsia=""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val="true"/>
      <w:keepLines/>
      <w:spacing w:after="240" w:before="240"/>
      <w:jc w:val="center"/>
    </w:pPr>
    <w:rPr>
      <w:sz w:val="30"/>
      <w:szCs w:val="30"/>
    </w:rPr>
  </w:style>
  <w:style w:customStyle="1" w:styleId="Author" w:type="paragraph">
    <w:name w:val="Author"/>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a" w:type="paragraph">
    <w:name w:val="Figura"/>
    <w:basedOn w:val="Normal"/>
    <w:qFormat/>
    <w:pPr/>
    <w:rPr/>
  </w:style>
  <w:style w:customStyle="1" w:styleId="CaptionedFigure" w:type="paragraph">
    <w:name w:val="Captioned Figure"/>
    <w:basedOn w:val="Figura"/>
    <w:qFormat/>
    <w:pPr>
      <w:keepNext w:val="true"/>
    </w:pPr>
    <w:rPr/>
  </w:style>
  <w:style w:styleId="IndexHeading" w:type="paragraph">
    <w:name w:val="Index Heading"/>
    <w:basedOn w:val="Ttulo"/>
    <w:pPr/>
    <w:rPr/>
  </w:style>
  <w:style w:styleId="TOCHeading" w:type="paragraph">
    <w:name w:val="TOC Heading"/>
    <w:basedOn w:val="Heading1"/>
    <w:next w:val="BodyText"/>
    <w:uiPriority w:val="39"/>
    <w:unhideWhenUsed/>
    <w:qFormat/>
    <w:pPr>
      <w:spacing w:after="0" w:before="240" w:line="259" w:lineRule="auto"/>
      <w:outlineLvl w:val="9"/>
    </w:pPr>
    <w:rPr>
      <w:rFonts w:ascii="Calibri" w:asciiTheme="majorHAnsi" w:cs="" w:cstheme="majorBidi" w:eastAsia="" w:eastAsiaTheme="majorEastAsia" w:hAnsi="Calibri" w:hAnsiTheme="majorHAnsi"/>
      <w:b w:val="false"/>
      <w:bCs w:val="false"/>
      <w:color w:themeColor="accent1" w:themeShade="bf" w:val="365F91"/>
    </w:rPr>
  </w:style>
  <w:style w:customStyle="1" w:styleId="SourceCode" w:type="paragraph">
    <w:name w:val="Source Code"/>
    <w:basedOn w:val="Normal"/>
    <w:link w:val="VerbatimChar"/>
    <w:qFormat/>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LibreOffice/24.2.7.2$Linux_X86_64 LibreOffice_project/420$Build-2</Application>
  <AppVersion>15.0000</AppVersion>
  <Pages>14</Pages>
  <Words>2252</Words>
  <Characters>12489</Characters>
  <CharactersWithSpaces>14483</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2026-05-29T15:36:30Z</dcterms:created>
  <dcterms:modified xsi:type="dcterms:W3CDTF">2026-05-29T15:36:30Z</dcterms:modified>
</cp:coreProperties>
</file>

<file path=docProps/custom.xml><?xml version="1.0" encoding="utf-8"?>
<Properties xmlns="http://schemas.openxmlformats.org/officeDocument/2006/custom-properties" xmlns:vt="http://schemas.openxmlformats.org/officeDocument/2006/docPropsVTypes"/>
</file>