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5e66ae24e4cf232a1527576667f64a6ceceef3e"/>
      <w:r>
        <w:rPr/>
        <w:t>CellSim: Resumen técnico del proceso de calibración</w:t>
      </w:r>
    </w:p>
    <w:p>
      <w:pPr>
        <w:pStyle w:val="FirstParagraph"/>
        <w:rPr/>
      </w:pPr>
      <w:r>
        <w:rPr>
          <w:i/>
          <w:iCs/>
        </w:rPr>
        <w:t>Para discusión interna — borrador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i-el-modelo"/>
      <w:r>
        <w:rPr/>
        <w:t>(i) El modelo</w:t>
      </w:r>
    </w:p>
    <w:p>
      <w:pPr>
        <w:pStyle w:val="FirstParagraph"/>
        <w:rPr/>
      </w:pPr>
      <w:r>
        <w:rPr/>
        <w:t xml:space="preserve">CellSim es un simulador estocástico basado en agentes escrito en C++20. Cada </w:t>
      </w:r>
      <w:r>
        <w:rPr>
          <w:i/>
          <w:iCs/>
        </w:rPr>
        <w:t>tejido</w:t>
      </w:r>
      <w:r>
        <w:rPr/>
        <w:t xml:space="preserve"> se representa como una población de 500 células autónomas. Cada célula lleva un genoma con dos genes clave: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BRCA1</w:t>
      </w:r>
      <w:r>
        <w:rPr/>
        <w:t>: se inicializa en estado heterocigoto (+/-), como corresponde a una portadora germinal. Puede mutar hacia la pérdida de heterocigosidad (-/-).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TP53</w:t>
      </w:r>
      <w:r>
        <w:rPr/>
        <w:t>: se inicializa como salvaje (+/+). Controla la apoptosis intrínseca.</w:t>
      </w:r>
    </w:p>
    <w:p>
      <w:pPr>
        <w:pStyle w:val="FirstParagraph"/>
        <w:rPr/>
      </w:pPr>
      <w:r>
        <w:rPr/>
        <w:t xml:space="preserve">En cada </w:t>
      </w:r>
      <w:r>
        <w:rPr>
          <w:i/>
          <w:iCs/>
        </w:rPr>
        <w:t>tick</w:t>
      </w:r>
      <w:r>
        <w:rPr/>
        <w:t xml:space="preserve"> (= 1 año), las células acumulan daño genómico (acumuladores D1 y D2), pueden mutar sus genes, y transitan por </w:t>
      </w:r>
      <w:r>
        <w:rPr/>
        <w:t xml:space="preserve">cinco </w:t>
      </w:r>
      <w:r>
        <w:rPr/>
        <w:t>estadios de vida:</w:t>
      </w:r>
    </w:p>
    <w:p>
      <w:pPr>
        <w:pStyle w:val="SourceCode"/>
        <w:rPr/>
      </w:pPr>
      <w:r>
        <w:rPr>
          <w:rStyle w:val="VerbatimChar"/>
        </w:rPr>
        <w:t>BASELINE → UNSTABLE → UNPROTECTED → PRIMER → TUMORAL</w:t>
      </w:r>
    </w:p>
    <w:p>
      <w:pPr>
        <w:pStyle w:val="FirstParagraph"/>
        <w:rPr/>
      </w:pPr>
      <w:r>
        <w:rPr/>
        <w:t xml:space="preserve">De los cuales, las células también pueden progresar a un sexto estadio, </w:t>
      </w:r>
      <w:r>
        <w:rPr>
          <w:rStyle w:val="VerbatimChar"/>
        </w:rPr>
        <w:t>DEAD</w:t>
      </w:r>
      <w:r>
        <w:rPr>
          <w:rStyle w:val="VerbatimChar"/>
          <w:rFonts w:ascii="Cambria" w:hAnsi="Cambria"/>
        </w:rPr>
        <w:t xml:space="preserve">, en todos los casos, excepto en el </w:t>
      </w:r>
      <w:r>
        <w:rPr>
          <w:rStyle w:val="VerbatimChar"/>
        </w:rPr>
        <w:t>TUMORAL.</w:t>
      </w:r>
    </w:p>
    <w:p>
      <w:pPr>
        <w:pStyle w:val="FirstParagraph"/>
        <w:rPr/>
      </w:pPr>
      <w:r>
        <w:rPr/>
        <w:t xml:space="preserve">La progresión es emergente: no está programada directamente sino que surge de las reglas locales de cada célula. El tejido “desarrolla tumor” cuando la fracción de células neoplásicas supera el </w:t>
      </w:r>
      <w:r>
        <w:rPr>
          <w:b/>
          <w:bCs/>
        </w:rPr>
        <w:t>5%</w:t>
      </w:r>
      <w:r>
        <w:rPr/>
        <w:t xml:space="preserve"> (≈ 10⁹ células reales, límite de detección mamográfica). El modelo se ejecuta durante 80 ticks (años 0–80).</w:t>
      </w:r>
    </w:p>
    <w:p>
      <w:pPr>
        <w:pStyle w:val="Normal"/>
        <w:rPr/>
      </w:pPr>
      <w:bookmarkStart w:id="2" w:name="i-el-model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i-parámetros-del-modelo"/>
      <w:r>
        <w:rPr/>
        <w:t>(ii) Parámetros del modelo</w:t>
      </w:r>
    </w:p>
    <w:p>
      <w:pPr>
        <w:pStyle w:val="Heading3"/>
        <w:rPr/>
      </w:pPr>
      <w:r>
        <w:rPr/>
        <w:t>Parámetros primarios (los que calibramos)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10"/>
        <w:gridCol w:w="2969"/>
        <w:gridCol w:w="3881"/>
      </w:tblGrid>
      <w:tr>
        <w:trPr>
          <w:tblHeader w:val="true"/>
        </w:trPr>
        <w:tc>
          <w:tcPr>
            <w:tcW w:w="25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Parámetro</w:t>
            </w:r>
          </w:p>
        </w:tc>
        <w:tc>
          <w:tcPr>
            <w:tcW w:w="29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  <w:tc>
          <w:tcPr>
            <w:tcW w:w="38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Rango explorado</w:t>
            </w:r>
          </w:p>
        </w:tc>
      </w:tr>
      <w:tr>
        <w:trPr/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brca1_rate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Probabilidad anual de que BRCA1 +/- mute a -/- (segundo golpe)</w:t>
            </w:r>
          </w:p>
        </w:tc>
        <w:tc>
          <w:tcPr>
            <w:tcW w:w="3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0.010 – 0.100</w:t>
            </w:r>
          </w:p>
        </w:tc>
      </w:tr>
      <w:tr>
        <w:trPr/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low_delta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Incremento de daño D1/D2 por tick en célula BRCA1 +/-</w:t>
            </w:r>
          </w:p>
        </w:tc>
        <w:tc>
          <w:tcPr>
            <w:tcW w:w="3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0.020 – 0.150</w:t>
            </w:r>
          </w:p>
        </w:tc>
      </w:tr>
      <w:tr>
        <w:trPr/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high_delta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Incremento de daño en célula BRCA1 -/- (= 2 × low_delta)</w:t>
            </w:r>
          </w:p>
        </w:tc>
        <w:tc>
          <w:tcPr>
            <w:tcW w:w="3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derivado</w:t>
            </w:r>
            <w:bookmarkStart w:id="4" w:name="parámetros-primarios-los-que-calibramos"/>
            <w:bookmarkEnd w:id="4"/>
          </w:p>
        </w:tc>
      </w:tr>
    </w:tbl>
    <w:p>
      <w:pPr>
        <w:pStyle w:val="Heading3"/>
        <w:rPr/>
      </w:pPr>
      <w:r>
        <w:rPr/>
        <w:t>Parámetros secundarios (fijos durante la calibración)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Parámetro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tp53_rate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Probabilidad anual de mutación TP53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d1_threshold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Umbral de D1 para entrar en estado PRIMER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d2_threshold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Umbral de D2 para evasión inmune (TUMORAL)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tumor_threshold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Fracción neoplásica para declarar onset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n_cells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Células por tejido simulado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Duración de la simulación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 ticks</w:t>
            </w:r>
          </w:p>
        </w:tc>
      </w:tr>
    </w:tbl>
    <w:p>
      <w:pPr>
        <w:pStyle w:val="Normal"/>
        <w:rPr/>
      </w:pPr>
      <w:bookmarkStart w:id="5" w:name="ii-parámetros-del-model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X63a840404eb2647cc2ab685e58c4cde4b8527e4"/>
      <w:r>
        <w:rPr/>
        <w:t>(iii) Valores por defecto y criterio de selección</w:t>
      </w:r>
    </w:p>
    <w:p>
      <w:pPr>
        <w:pStyle w:val="FirstParagraph"/>
        <w:rPr/>
      </w:pPr>
      <w:r>
        <w:rPr/>
        <w:t xml:space="preserve">Los valores por defecto fueron establecidos como </w:t>
      </w:r>
      <w:r>
        <w:rPr>
          <w:b/>
          <w:bCs/>
        </w:rPr>
        <w:t>punto de partida razonable</w:t>
      </w:r>
      <w:r>
        <w:rPr/>
        <w:t>, no como valores validados. El criterio fue: “por algo hay que empezar, y estos valores producen un comportamiento cualitativamente interesante sin colapsar el modelo.” Por ejemplo:</w:t>
      </w:r>
    </w:p>
    <w:p>
      <w:pPr>
        <w:pStyle w:val="Compact"/>
        <w:numPr>
          <w:ilvl w:val="0"/>
          <w:numId w:val="4"/>
        </w:numPr>
        <w:rPr/>
      </w:pPr>
      <w:r>
        <w:rPr>
          <w:rStyle w:val="VerbatimChar"/>
        </w:rPr>
        <w:t>brca1_rate = 0.008</w:t>
      </w:r>
      <w:r>
        <w:rPr/>
        <w:t xml:space="preserve"> → ~1 mutación cada 125 años: plausible pero lento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</w:rPr>
        <w:t>low_delta = 0.15</w:t>
      </w:r>
      <w:r>
        <w:rPr/>
        <w:t xml:space="preserve">, </w:t>
      </w:r>
      <w:r>
        <w:rPr>
          <w:rStyle w:val="VerbatimChar"/>
        </w:rPr>
        <w:t>high_delta = 0.40</w:t>
      </w:r>
      <w:r>
        <w:rPr/>
        <w:t xml:space="preserve"> → proporciones arbitrarias que generan progresión en el rango de 40–80 años</w:t>
      </w:r>
    </w:p>
    <w:p>
      <w:pPr>
        <w:pStyle w:val="FirstParagraph"/>
        <w:rPr/>
      </w:pPr>
      <w:r>
        <w:rPr/>
        <w:t xml:space="preserve">Con estos valores por defecto, el modelo produce SSE = 5295 frente a Kuchenbaecker: la curva llega muy tarde (cero tumores antes de los 50) y se pasa en el plateau (84% a los 80 años en lugar de 70%). Es un modelo que “funciona” pero no reproduce la clínica, </w:t>
      </w:r>
      <w:r>
        <w:rPr/>
        <w:t>mientras que la versión calibrada</w:t>
      </w:r>
      <w:r>
        <w:rPr>
          <w:rStyle w:val="FootnoteReference"/>
        </w:rPr>
        <w:footnoteReference w:id="2"/>
      </w:r>
      <w:r>
        <w:rPr/>
        <w:t xml:space="preserve"> es más ajustada.</w:t>
      </w:r>
    </w:p>
    <w:p>
      <w:pPr>
        <w:pStyle w:val="BodyText"/>
        <w:rPr/>
      </w:pPr>
      <w:r>
        <w:rPr>
          <w:i/>
          <w:iCs/>
        </w:rPr>
        <w:t xml:space="preserve">(Ver </w:t>
      </w:r>
      <w:r>
        <w:rPr>
          <w:b/>
          <w:bCs/>
          <w:i/>
          <w:iCs/>
        </w:rPr>
        <w:t>Figura 1</w:t>
      </w:r>
      <w:r>
        <w:rPr>
          <w:i/>
          <w:iCs/>
        </w:rPr>
        <w:t xml:space="preserve">: parámetros iniciales vs. calibrados — </w:t>
      </w:r>
      <w:r>
        <w:rPr>
          <w:rStyle w:val="VerbatimChar"/>
          <w:i/>
          <w:iCs/>
        </w:rPr>
        <w:t>fig1_initial_vs_calibrated.png</w:t>
      </w:r>
      <w:r>
        <w:rPr>
          <w:i/>
          <w:iCs/>
        </w:rPr>
        <w:t>)</w:t>
      </w:r>
    </w:p>
    <w:p>
      <w:pPr>
        <w:pStyle w:val="BodyText"/>
        <w:rPr>
          <w:i/>
          <w:i/>
          <w:iCs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78380"/>
            <wp:effectExtent l="0" t="0" r="0" b="0"/>
            <wp:wrapSquare wrapText="largest"/>
            <wp:docPr id="7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7" w:name="X63a840404eb2647cc2ab685e58c4cde4b8527e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Xa46fef89b001ec667866501444b375e9d007009"/>
      <w:r>
        <w:rPr/>
        <w:t>(iv) Fine tuning inicial: el big bang es necesario</w:t>
      </w:r>
    </w:p>
    <w:p>
      <w:pPr>
        <w:pStyle w:val="FirstParagraph"/>
        <w:rPr/>
      </w:pPr>
      <w:r>
        <w:rPr/>
        <w:t xml:space="preserve">Realizamos una búsqueda en rejilla con 36 combinaciones de </w:t>
      </w:r>
      <w:r>
        <w:rPr>
          <w:rStyle w:val="VerbatimChar"/>
        </w:rPr>
        <w:t>brca1_rate</w:t>
      </w:r>
      <w:r>
        <w:rPr/>
        <w:t xml:space="preserve"> × </w:t>
      </w:r>
      <w:r>
        <w:rPr>
          <w:rStyle w:val="VerbatimChar"/>
        </w:rPr>
        <w:t>low_delta</w:t>
      </w:r>
      <w:r>
        <w:rPr/>
        <w:t xml:space="preserve"> (N=200 runs por combo). El mejor resultado sin big bang fue SSE=2078.</w:t>
      </w:r>
    </w:p>
    <w:p>
      <w:pPr>
        <w:pStyle w:val="BodyText"/>
        <w:rPr/>
      </w:pPr>
      <w:r>
        <w:rPr>
          <w:b/>
          <w:bCs/>
        </w:rPr>
        <w:t>Problema estructural descubierto:</w:t>
      </w:r>
      <w:r>
        <w:rPr/>
        <w:t xml:space="preserve"> existe una incompatibilidad fundamental: - Subir </w:t>
      </w:r>
      <w:r>
        <w:rPr>
          <w:rStyle w:val="VerbatimChar"/>
        </w:rPr>
        <w:t>brca1_rate</w:t>
      </w:r>
      <w:r>
        <w:rPr/>
        <w:t xml:space="preserve"> → onset más temprano, pero el plateau final es demasiado bajo - Bajar </w:t>
      </w:r>
      <w:r>
        <w:rPr>
          <w:rStyle w:val="VerbatimChar"/>
        </w:rPr>
        <w:t>brca1_rate</w:t>
      </w:r>
      <w:r>
        <w:rPr/>
        <w:t xml:space="preserve"> → plateau correcto (~70%), pero onset muy tardío</w:t>
      </w:r>
    </w:p>
    <w:p>
      <w:pPr>
        <w:pStyle w:val="BodyText"/>
        <w:rPr/>
      </w:pPr>
      <w:r>
        <w:rPr/>
        <w:t>Ninguna combinación lograba simultáneamente r40 ≈ 26% Y r80 ≈ 70%.</w:t>
      </w:r>
    </w:p>
    <w:p>
      <w:pPr>
        <w:pStyle w:val="BodyText"/>
        <w:rPr/>
      </w:pPr>
      <w:r>
        <w:rPr>
          <w:b/>
          <w:bCs/>
        </w:rPr>
        <w:t>Causa raíz:</w:t>
      </w:r>
      <w:r>
        <w:rPr/>
        <w:t xml:space="preserve"> sin big bang, la tasa de división de células neoplásicas es idéntica a la normal (0.1% por tick). Una única célula tumoral tarda décadas en expandirse al 5% del tejido, retrasando artificialmente el onset declarado. El modelo no puede separar “cuándo aparece la primera célula tumoral” de “cuánto tarda el clon en crecer”.</w:t>
      </w:r>
    </w:p>
    <w:p>
      <w:pPr>
        <w:pStyle w:val="BodyText"/>
        <w:rPr/>
      </w:pPr>
      <w:r>
        <w:rPr>
          <w:i/>
          <w:iCs/>
        </w:rPr>
        <w:t xml:space="preserve">(Ver </w:t>
      </w:r>
      <w:r>
        <w:rPr>
          <w:b/>
          <w:bCs/>
          <w:i/>
          <w:iCs/>
        </w:rPr>
        <w:t>Figura 2</w:t>
      </w:r>
      <w:r>
        <w:rPr>
          <w:i/>
          <w:iCs/>
        </w:rPr>
        <w:t xml:space="preserve">: efecto del Big Bang — </w:t>
      </w:r>
      <w:r>
        <w:rPr>
          <w:rStyle w:val="VerbatimChar"/>
          <w:i/>
          <w:iCs/>
        </w:rPr>
        <w:t>fig2_bigbang_effect.png</w:t>
      </w:r>
      <w:r>
        <w:rPr>
          <w:i/>
          <w:iCs/>
        </w:rPr>
        <w:t>)</w:t>
      </w:r>
    </w:p>
    <w:p>
      <w:pPr>
        <w:pStyle w:val="BodyText"/>
        <w:rPr>
          <w:i/>
          <w:i/>
          <w:iCs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78380"/>
            <wp:effectExtent l="0" t="0" r="0" b="0"/>
            <wp:wrapSquare wrapText="largest"/>
            <wp:docPr id="10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9" w:name="Xa46fef89b001ec667866501444b375e9d00700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Xdf2c011e960176fd5c9a3f1bb5f817b5f8b5642"/>
      <w:r>
        <w:rPr/>
        <w:t>(v) Añadimos Big Bang y hacemos nuevo fine tuning</w:t>
      </w:r>
    </w:p>
    <w:p>
      <w:pPr>
        <w:pStyle w:val="FirstParagraph"/>
        <w:rPr/>
      </w:pPr>
      <w:r>
        <w:rPr>
          <w:b/>
          <w:bCs/>
        </w:rPr>
        <w:t>Big Bang:</w:t>
      </w:r>
      <w:r>
        <w:rPr/>
        <w:t xml:space="preserve"> cuando una célula entra en estado PRIMER, su tasa de división pasa de 0.1% a </w:t>
      </w:r>
      <w:r>
        <w:rPr>
          <w:b/>
          <w:bCs/>
        </w:rPr>
        <w:t>10% por tick</w:t>
      </w:r>
      <w:r>
        <w:rPr/>
        <w:t xml:space="preserve"> (×100). Esto modela la expansión clonal acelerada característica de los tumores tempranos (dinámica gompertziana). </w:t>
      </w:r>
      <w:r>
        <w:rPr>
          <w:b/>
          <w:bCs/>
        </w:rPr>
        <w:t>No afecta las tasas de mutación</w:t>
      </w:r>
      <w:r>
        <w:rPr/>
        <w:t xml:space="preserve"> — solo la velocidad de crecimiento del clon una vez iniciado.</w:t>
      </w:r>
    </w:p>
    <w:p>
      <w:pPr>
        <w:pStyle w:val="BodyText"/>
        <w:rPr/>
      </w:pPr>
      <w:r>
        <w:rPr/>
        <w:t>Con big bang activo, repetimos la búsqueda en rejilla en dos fases:</w:t>
      </w:r>
    </w:p>
    <w:p>
      <w:pPr>
        <w:pStyle w:val="BodyText"/>
        <w:rPr/>
      </w:pPr>
      <w:r>
        <w:rPr>
          <w:b/>
          <w:bCs/>
        </w:rPr>
        <w:t>Fase 3 (rejilla gruesa, N=200):</w:t>
      </w:r>
      <w:r>
        <w:rPr/>
        <w:t xml:space="preserve"> SSE bajó de 2078 a </w:t>
      </w:r>
      <w:r>
        <w:rPr>
          <w:b/>
          <w:bCs/>
        </w:rPr>
        <w:t>243</w:t>
      </w:r>
      <w:r>
        <w:rPr/>
        <w:t xml:space="preserve"> (mejora ×8.5). El mejor combo identificado: brca1=0.040, low_d=0.100.</w:t>
      </w:r>
    </w:p>
    <w:p>
      <w:pPr>
        <w:pStyle w:val="BodyText"/>
        <w:rPr/>
      </w:pPr>
      <w:r>
        <w:rPr>
          <w:b/>
          <w:bCs/>
        </w:rPr>
        <w:t>Fase 4 (rejilla fina, N=500):</w:t>
      </w:r>
      <w:r>
        <w:rPr/>
        <w:t xml:space="preserve"> 42 combinaciones alrededor del óptimo. Mejor resultado: brca1=0.045, low_d=0.120, high_d=0.240 → </w:t>
      </w:r>
      <w:r>
        <w:rPr>
          <w:b/>
          <w:bCs/>
        </w:rPr>
        <w:t>SSE=48.5</w:t>
      </w:r>
    </w:p>
    <w:p>
      <w:pPr>
        <w:pStyle w:val="BodyText"/>
        <w:rPr/>
      </w:pPr>
      <w:r>
        <w:rPr/>
        <w:t>Confirmado con N=1000 runs: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Edad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CellSim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Kuchenbaecker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 95%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[2–7%] ← ligero gap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22.7%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[22–30%] 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49.1%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46.0%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[41–52%] 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61.6%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58.0%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[52–65%] 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68.1%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65.0%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[56–73%] 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70.3%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70.0%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[60–80%] ✅</w:t>
            </w:r>
          </w:p>
        </w:tc>
      </w:tr>
    </w:tbl>
    <w:p>
      <w:pPr>
        <w:pStyle w:val="BodyText"/>
        <w:rPr/>
      </w:pPr>
      <w:r>
        <w:rPr/>
        <w:t>El 30% de tejidos que nunca supera el umbral (no penetrancia) emerge naturalmente de la protección de TP53, sin programarlo explícitamente.</w:t>
      </w:r>
    </w:p>
    <w:p>
      <w:pPr>
        <w:pStyle w:val="BodyText"/>
        <w:rPr/>
      </w:pPr>
      <w:r>
        <w:rPr>
          <w:i/>
          <w:iCs/>
        </w:rPr>
        <w:t xml:space="preserve">(Ver </w:t>
      </w:r>
      <w:r>
        <w:rPr>
          <w:b/>
          <w:bCs/>
          <w:i/>
          <w:iCs/>
        </w:rPr>
        <w:t>Figura 3</w:t>
      </w:r>
      <w:r>
        <w:rPr>
          <w:i/>
          <w:iCs/>
        </w:rPr>
        <w:t xml:space="preserve">: calibración final vs. Kuchenbaecker — </w:t>
      </w:r>
      <w:r>
        <w:rPr>
          <w:rStyle w:val="VerbatimChar"/>
          <w:i/>
          <w:iCs/>
        </w:rPr>
        <w:t>fig3_calibration_kuchenbaecker.png</w:t>
      </w:r>
      <w:r>
        <w:rPr>
          <w:i/>
          <w:iCs/>
        </w:rPr>
        <w:t>)</w:t>
      </w:r>
    </w:p>
    <w:p>
      <w:pPr>
        <w:pStyle w:val="BodyText"/>
        <w:rPr>
          <w:i/>
          <w:i/>
          <w:i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91255"/>
            <wp:effectExtent l="0" t="0" r="0" b="0"/>
            <wp:wrapSquare wrapText="largest"/>
            <wp:docPr id="1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11" w:name="Xdf2c011e960176fd5c9a3f1bb5f817b5f8b564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X46a3e256a2b372acde40195832168c1eb236a78"/>
      <w:r>
        <w:rPr/>
        <w:t>(vi) Exploración de tp53_rate: comportamiento binario</w:t>
      </w:r>
    </w:p>
    <w:p>
      <w:pPr>
        <w:pStyle w:val="FirstParagraph"/>
        <w:rPr/>
      </w:pPr>
      <w:r>
        <w:rPr/>
        <w:t xml:space="preserve">Para intentar cerrar el gap residual en r30 (1.7% vs 4%), exploramos si aumentar ligeramente </w:t>
      </w:r>
      <w:r>
        <w:rPr>
          <w:rStyle w:val="VerbatimChar"/>
        </w:rPr>
        <w:t>tp53_rate</w:t>
      </w:r>
      <w:r>
        <w:rPr/>
        <w:t xml:space="preserve"> podría incrementar el onset temprano.</w:t>
      </w:r>
    </w:p>
    <w:p>
      <w:pPr>
        <w:pStyle w:val="BodyText"/>
        <w:rPr/>
      </w:pPr>
      <w:r>
        <w:rPr/>
        <w:t xml:space="preserve">Realizamos dos barridos: uno grueso (0.003–0.020) y uno muy fino (0.0025–0.0050 en pasos de 0.0005). Resultado: el parámetro se comporta como un </w:t>
      </w:r>
      <w:r>
        <w:rPr>
          <w:b/>
          <w:bCs/>
        </w:rPr>
        <w:t>interruptor</w:t>
      </w:r>
      <w:r>
        <w:rPr/>
        <w:t>, no como un dial continuo: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tp53_rate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r30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r40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r80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16.2%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486 ❌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0.0030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1.8%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22.4%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70.0%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53 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2.4%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31.6%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80.4%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670 ❌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4.4%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40.6%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2281 ❌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5171 ❌</w:t>
            </w:r>
          </w:p>
        </w:tc>
      </w:tr>
    </w:tbl>
    <w:p>
      <w:pPr>
        <w:pStyle w:val="BodyText"/>
        <w:rPr/>
      </w:pPr>
      <w:r>
        <w:rPr/>
        <w:t xml:space="preserve">El paso de 0.0030 a 0.0035 (+0.0005, apenas un +17%) ya dispara el SSE de 53 a 670 y eleva el plateau a 80%. Irónicamente, tp53=0.0040 </w:t>
      </w:r>
      <w:r>
        <w:rPr>
          <w:i/>
          <w:iCs/>
        </w:rPr>
        <w:t>sí</w:t>
      </w:r>
      <w:r>
        <w:rPr/>
        <w:t xml:space="preserve"> clava el r30 (4.4% ≈ 4%), pero destroza completamente r40–r80.</w:t>
      </w:r>
    </w:p>
    <w:p>
      <w:pPr>
        <w:pStyle w:val="BodyText"/>
        <w:rPr/>
      </w:pPr>
      <w:r>
        <w:rPr/>
        <w:t xml:space="preserve">Esto confirma que </w:t>
      </w:r>
      <w:r>
        <w:rPr>
          <w:b/>
          <w:bCs/>
        </w:rPr>
        <w:t>0.003 es el óptimo global</w:t>
      </w:r>
      <w:r>
        <w:rPr/>
        <w:t>: el parámetro controla la no-penetrancia del modelo, y cualquier incremento elimina el 30% de tejidos que nunca desarrollan tumor, que es precisamente lo que reproduce el dato clínico.</w:t>
      </w:r>
    </w:p>
    <w:p>
      <w:pPr>
        <w:pStyle w:val="BodyText"/>
        <w:rPr/>
      </w:pPr>
      <w:r>
        <w:rPr>
          <w:b/>
          <w:bCs/>
        </w:rPr>
        <w:t>Conclusión:</w:t>
      </w:r>
      <w:r>
        <w:rPr/>
        <w:t xml:space="preserve"> el gap en r30 (1.7% vs 4%) no es un artefacto de calibración insuficiente — es una </w:t>
      </w:r>
      <w:r>
        <w:rPr>
          <w:b/>
          <w:bCs/>
        </w:rPr>
        <w:t>limitación estructural del modelo</w:t>
      </w:r>
      <w:r>
        <w:rPr/>
        <w:t>. Con los parámetros actuales, el modelo está en su óptimo global. Dado que r40 ya está dentro del IC de Kuchenbaecker [22–30%], el modelo es válido para publicación. El gap en r30 se reporta honestamente como limitación.</w:t>
      </w:r>
    </w:p>
    <w:p>
      <w:pPr>
        <w:pStyle w:val="Normal"/>
        <w:rPr/>
      </w:pPr>
      <w:bookmarkStart w:id="13" w:name="X46a3e256a2b372acde40195832168c1eb236a7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resumen-del-proceso-de-calibración"/>
      <w:r>
        <w:rPr/>
        <w:t>Resumen del proceso de calibración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Configuración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SSE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Baseline (defaults)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 BB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5295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Rejilla gruesa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 BB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Rejilla gruesa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 BB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Rejilla fina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 BB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48.5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Exploración TP53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 BB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48.5 (sin mejora)</w:t>
            </w:r>
          </w:p>
        </w:tc>
      </w:tr>
    </w:tbl>
    <w:p>
      <w:pPr>
        <w:pStyle w:val="BodyText"/>
        <w:spacing w:before="180" w:after="180"/>
        <w:rPr/>
      </w:pPr>
      <w:r>
        <w:rPr>
          <w:b/>
          <w:bCs/>
        </w:rPr>
        <w:t>Parámetros calibrados finales:</w:t>
      </w:r>
      <w:r>
        <w:rPr/>
        <w:t xml:space="preserve"> - </w:t>
      </w:r>
      <w:r>
        <w:rPr>
          <w:rStyle w:val="VerbatimChar"/>
        </w:rPr>
        <w:t>brca1_rate = 0.045</w:t>
      </w:r>
      <w:r>
        <w:rPr/>
        <w:t xml:space="preserve"> - </w:t>
      </w:r>
      <w:r>
        <w:rPr>
          <w:rStyle w:val="VerbatimChar"/>
        </w:rPr>
        <w:t>low_delta = 0.120</w:t>
      </w:r>
      <w:r>
        <w:rPr/>
        <w:t xml:space="preserve"> - </w:t>
      </w:r>
      <w:r>
        <w:rPr>
          <w:rStyle w:val="VerbatimChar"/>
        </w:rPr>
        <w:t>high_delta = 0.240</w:t>
      </w:r>
      <w:r>
        <w:rPr/>
        <w:t xml:space="preserve"> - </w:t>
      </w:r>
      <w:r>
        <w:rPr>
          <w:rStyle w:val="VerbatimChar"/>
        </w:rPr>
        <w:t>big_bang = true</w:t>
      </w:r>
      <w:r>
        <w:rPr/>
        <w:t xml:space="preserve"> (neoplastic_division_rate = 0.1)</w:t>
      </w:r>
      <w:bookmarkEnd w:id="0"/>
      <w:bookmarkEnd w:id="14"/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eresdenotaalpie"/>
        </w:rPr>
        <w:footnoteRef/>
      </w:r>
      <w:r>
        <w:rPr/>
        <w:t>La versión calibrada se detalla más adelante.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EndnoteReference">
    <w:name w:val="Endnote Reference"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6</Pages>
  <Words>1049</Words>
  <Characters>5510</Characters>
  <CharactersWithSpaces>6399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2026-05-16T09:22:04Z</dcterms:created>
  <dc:creator/>
  <dc:description/>
  <dc:language>es-ES</dc:language>
  <cp:lastModifiedBy/>
  <dcterms:modified xsi:type="dcterms:W3CDTF">2026-05-17T12:14:37Z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