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5E45D" w14:textId="77777777" w:rsidR="00BC58DF" w:rsidRDefault="00BC58DF">
      <w:pPr>
        <w:spacing w:after="100"/>
      </w:pPr>
    </w:p>
    <w:p w14:paraId="5DC6BC6B" w14:textId="77777777" w:rsidR="00BC58DF" w:rsidRDefault="00000000">
      <w:pPr>
        <w:spacing w:after="100"/>
      </w:pPr>
      <w:r>
        <w:rPr>
          <w:b/>
          <w:bCs/>
          <w:color w:val="0EA5A4"/>
          <w:spacing w:val="60"/>
          <w:sz w:val="20"/>
          <w:szCs w:val="20"/>
        </w:rPr>
        <w:t>WEBSITE CONTENT BRIEF</w:t>
      </w:r>
    </w:p>
    <w:p w14:paraId="2C373FA5" w14:textId="77777777" w:rsidR="00BC58DF" w:rsidRDefault="00000000">
      <w:pPr>
        <w:spacing w:after="120" w:line="360" w:lineRule="auto"/>
      </w:pPr>
      <w:r>
        <w:rPr>
          <w:b/>
          <w:bCs/>
          <w:color w:val="0B2447"/>
          <w:sz w:val="96"/>
          <w:szCs w:val="96"/>
        </w:rPr>
        <w:t>NXπ</w:t>
      </w:r>
    </w:p>
    <w:p w14:paraId="5E91708F" w14:textId="77777777" w:rsidR="00BC58DF" w:rsidRDefault="00000000">
      <w:pPr>
        <w:spacing w:after="100" w:line="320" w:lineRule="auto"/>
      </w:pPr>
      <w:r>
        <w:rPr>
          <w:b/>
          <w:bCs/>
          <w:color w:val="0B2447"/>
          <w:sz w:val="36"/>
          <w:szCs w:val="36"/>
        </w:rPr>
        <w:t>Platform &amp; Solutions — Website Copy</w:t>
      </w:r>
    </w:p>
    <w:p w14:paraId="49112365" w14:textId="77777777" w:rsidR="00BC58DF" w:rsidRDefault="00000000">
      <w:r>
        <w:br w:type="page"/>
      </w:r>
    </w:p>
    <w:p w14:paraId="3187A8BE" w14:textId="77777777" w:rsidR="00BC58DF" w:rsidRDefault="00000000">
      <w:pPr>
        <w:spacing w:before="240" w:after="80"/>
      </w:pPr>
      <w:r>
        <w:rPr>
          <w:b/>
          <w:bCs/>
          <w:color w:val="0EA5A4"/>
          <w:spacing w:val="40"/>
          <w:sz w:val="18"/>
          <w:szCs w:val="18"/>
        </w:rPr>
        <w:lastRenderedPageBreak/>
        <w:t>STRATEGIC CONTEXT</w:t>
      </w:r>
    </w:p>
    <w:p w14:paraId="3C614CB4" w14:textId="77777777" w:rsidR="00BC58DF" w:rsidRDefault="00000000">
      <w:pPr>
        <w:pStyle w:val="Heading1"/>
        <w:pBdr>
          <w:bottom w:val="single" w:sz="12" w:space="6" w:color="2E75B6"/>
        </w:pBdr>
        <w:spacing w:line="320" w:lineRule="auto"/>
      </w:pPr>
      <w:r>
        <w:t>1. Positioning Summary</w:t>
      </w:r>
    </w:p>
    <w:p w14:paraId="7BC85A65" w14:textId="77777777" w:rsidR="00BC58DF" w:rsidRDefault="00000000">
      <w:pPr>
        <w:spacing w:after="120" w:line="340" w:lineRule="auto"/>
      </w:pPr>
      <w:r>
        <w:rPr>
          <w:b/>
          <w:bCs/>
          <w:color w:val="0B2447"/>
        </w:rPr>
        <w:t xml:space="preserve">Every major AI platform on the market today assumes you have already chosen a graph. </w:t>
      </w:r>
      <w:r>
        <w:t xml:space="preserve">Microsoft Copilot Studio assumes the productivity graph. Salesforce </w:t>
      </w:r>
      <w:proofErr w:type="spellStart"/>
      <w:r>
        <w:t>Agentforce</w:t>
      </w:r>
      <w:proofErr w:type="spellEnd"/>
      <w:r>
        <w:t xml:space="preserve"> assumes the customer graph. Palantir AIP assumes an ontology. Glean assumes the knowledge graph. ServiceNow assumes the workflow graph.</w:t>
      </w:r>
    </w:p>
    <w:p w14:paraId="5040E00F" w14:textId="77777777" w:rsidR="00BC58DF" w:rsidRDefault="00000000">
      <w:pPr>
        <w:spacing w:after="120" w:line="340" w:lineRule="auto"/>
      </w:pPr>
      <w:r>
        <w:t xml:space="preserve">Enterprises do not run on a single graph. They run on SAP and Salesforce and a dozen databases and tens of thousands of documents — under regulators who demand to see every decision an AI agent ever made. </w:t>
      </w:r>
      <w:r>
        <w:rPr>
          <w:b/>
          <w:bCs/>
          <w:color w:val="0B2447"/>
        </w:rPr>
        <w:t>NXπ is built for that reality.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C58DF" w14:paraId="2DEDFA49" w14:textId="77777777">
        <w:tc>
          <w:tcPr>
            <w:tcW w:w="10080" w:type="dxa"/>
            <w:tcBorders>
              <w:top w:val="none" w:sz="0" w:space="0" w:color="FFFFFF"/>
              <w:left w:val="single" w:sz="24" w:space="0" w:color="0EA5A4"/>
              <w:bottom w:val="none" w:sz="0" w:space="0" w:color="FFFFFF"/>
              <w:right w:val="none" w:sz="0" w:space="0" w:color="FFFFFF"/>
            </w:tcBorders>
            <w:shd w:val="clear" w:color="auto" w:fill="E6F7F6"/>
            <w:tcMar>
              <w:top w:w="200" w:type="dxa"/>
              <w:left w:w="240" w:type="dxa"/>
              <w:bottom w:w="200" w:type="dxa"/>
              <w:right w:w="240" w:type="dxa"/>
            </w:tcMar>
          </w:tcPr>
          <w:p w14:paraId="63E07398" w14:textId="77777777" w:rsidR="00BC58DF" w:rsidRDefault="00000000">
            <w:pPr>
              <w:spacing w:after="100" w:line="320" w:lineRule="auto"/>
            </w:pPr>
            <w:r>
              <w:rPr>
                <w:b/>
                <w:bCs/>
                <w:color w:val="0B2447"/>
              </w:rPr>
              <w:t>NXπ is the AI control plane for the enterprise.</w:t>
            </w:r>
          </w:p>
          <w:p w14:paraId="34BF6762" w14:textId="77777777" w:rsidR="00BC58DF" w:rsidRDefault="00000000">
            <w:pPr>
              <w:spacing w:line="300" w:lineRule="auto"/>
            </w:pPr>
            <w:r>
              <w:rPr>
                <w:sz w:val="21"/>
                <w:szCs w:val="21"/>
              </w:rPr>
              <w:t>A vendor-neutral, MCP-native platform that connects SAP, Salesforce, every database, and every document under one governed layer — so AI agents and workflows act on your real business data, with the audit trail your regulators require and the deployment sovereignty your CISO demands.</w:t>
            </w:r>
          </w:p>
        </w:tc>
      </w:tr>
    </w:tbl>
    <w:p w14:paraId="1DA79AA3" w14:textId="77777777" w:rsidR="00BC58DF" w:rsidRDefault="00BC58DF">
      <w:pPr>
        <w:spacing w:after="200"/>
      </w:pPr>
    </w:p>
    <w:p w14:paraId="41E42A12" w14:textId="77777777" w:rsidR="00BC58DF" w:rsidRDefault="00000000">
      <w:pPr>
        <w:pStyle w:val="Heading3"/>
        <w:spacing w:line="300" w:lineRule="auto"/>
      </w:pPr>
      <w:r>
        <w:t>Why this matters in 2026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BC58DF" w14:paraId="500514EF" w14:textId="77777777">
        <w:tc>
          <w:tcPr>
            <w:tcW w:w="3360" w:type="dxa"/>
            <w:tcBorders>
              <w:top w:val="single" w:sz="4" w:space="0" w:color="FFFFFF"/>
              <w:left w:val="single" w:sz="4" w:space="0" w:color="FFFFFF"/>
              <w:bottom w:val="single" w:sz="4" w:space="0" w:color="FFFFFF"/>
              <w:right w:val="single" w:sz="4" w:space="0" w:color="FFFFFF"/>
            </w:tcBorders>
            <w:shd w:val="clear" w:color="auto" w:fill="E8F1FB"/>
            <w:tcMar>
              <w:top w:w="180" w:type="dxa"/>
              <w:left w:w="200" w:type="dxa"/>
              <w:bottom w:w="180" w:type="dxa"/>
              <w:right w:w="200" w:type="dxa"/>
            </w:tcMar>
          </w:tcPr>
          <w:p w14:paraId="692EB99F" w14:textId="77777777" w:rsidR="00BC58DF" w:rsidRDefault="00000000">
            <w:pPr>
              <w:spacing w:after="60"/>
            </w:pPr>
            <w:r>
              <w:rPr>
                <w:b/>
                <w:bCs/>
                <w:color w:val="0B2447"/>
                <w:sz w:val="40"/>
                <w:szCs w:val="40"/>
              </w:rPr>
              <w:t>$8.5B → $35B</w:t>
            </w:r>
          </w:p>
          <w:p w14:paraId="4093F4BC" w14:textId="77777777" w:rsidR="00BC58DF" w:rsidRDefault="00000000">
            <w:pPr>
              <w:spacing w:line="280" w:lineRule="auto"/>
            </w:pPr>
            <w:r>
              <w:rPr>
                <w:sz w:val="19"/>
                <w:szCs w:val="19"/>
              </w:rPr>
              <w:t>Agentic AI market 2026 → 2030 (Deloitte TMT Predictions 2026)</w:t>
            </w:r>
          </w:p>
        </w:tc>
        <w:tc>
          <w:tcPr>
            <w:tcW w:w="3360" w:type="dxa"/>
            <w:tcBorders>
              <w:top w:val="single" w:sz="4" w:space="0" w:color="FFFFFF"/>
              <w:left w:val="single" w:sz="4" w:space="0" w:color="FFFFFF"/>
              <w:bottom w:val="single" w:sz="4" w:space="0" w:color="FFFFFF"/>
              <w:right w:val="single" w:sz="4" w:space="0" w:color="FFFFFF"/>
            </w:tcBorders>
            <w:shd w:val="clear" w:color="auto" w:fill="E8F1FB"/>
            <w:tcMar>
              <w:top w:w="180" w:type="dxa"/>
              <w:left w:w="200" w:type="dxa"/>
              <w:bottom w:w="180" w:type="dxa"/>
              <w:right w:w="200" w:type="dxa"/>
            </w:tcMar>
          </w:tcPr>
          <w:p w14:paraId="0720A053" w14:textId="77777777" w:rsidR="00BC58DF" w:rsidRDefault="00000000">
            <w:pPr>
              <w:spacing w:after="60"/>
            </w:pPr>
            <w:r>
              <w:rPr>
                <w:b/>
                <w:bCs/>
                <w:color w:val="0B2447"/>
                <w:sz w:val="40"/>
                <w:szCs w:val="40"/>
              </w:rPr>
              <w:t>40%</w:t>
            </w:r>
          </w:p>
          <w:p w14:paraId="09B34355" w14:textId="77777777" w:rsidR="00BC58DF" w:rsidRDefault="00000000">
            <w:pPr>
              <w:spacing w:line="280" w:lineRule="auto"/>
            </w:pPr>
            <w:r>
              <w:rPr>
                <w:sz w:val="19"/>
                <w:szCs w:val="19"/>
              </w:rPr>
              <w:t>Of agentic AI projects will be cancelled by 2027 due to cost, value, and risk (Gartner)</w:t>
            </w:r>
          </w:p>
        </w:tc>
        <w:tc>
          <w:tcPr>
            <w:tcW w:w="3360" w:type="dxa"/>
            <w:tcBorders>
              <w:top w:val="single" w:sz="4" w:space="0" w:color="FFFFFF"/>
              <w:left w:val="single" w:sz="4" w:space="0" w:color="FFFFFF"/>
              <w:bottom w:val="single" w:sz="4" w:space="0" w:color="FFFFFF"/>
              <w:right w:val="single" w:sz="4" w:space="0" w:color="FFFFFF"/>
            </w:tcBorders>
            <w:shd w:val="clear" w:color="auto" w:fill="E8F1FB"/>
            <w:tcMar>
              <w:top w:w="180" w:type="dxa"/>
              <w:left w:w="200" w:type="dxa"/>
              <w:bottom w:w="180" w:type="dxa"/>
              <w:right w:w="200" w:type="dxa"/>
            </w:tcMar>
          </w:tcPr>
          <w:p w14:paraId="3D2AC9AE" w14:textId="77777777" w:rsidR="00BC58DF" w:rsidRDefault="00000000">
            <w:pPr>
              <w:spacing w:after="60"/>
            </w:pPr>
            <w:r>
              <w:rPr>
                <w:b/>
                <w:bCs/>
                <w:color w:val="0B2447"/>
                <w:sz w:val="40"/>
                <w:szCs w:val="40"/>
              </w:rPr>
              <w:t>Aug 2, 2026</w:t>
            </w:r>
          </w:p>
          <w:p w14:paraId="2D87DBB9" w14:textId="77777777" w:rsidR="00BC58DF" w:rsidRDefault="00000000">
            <w:pPr>
              <w:spacing w:line="280" w:lineRule="auto"/>
            </w:pPr>
            <w:r>
              <w:rPr>
                <w:sz w:val="19"/>
                <w:szCs w:val="19"/>
              </w:rPr>
              <w:t>EU AI Act high-risk system compliance deadline</w:t>
            </w:r>
          </w:p>
        </w:tc>
      </w:tr>
    </w:tbl>
    <w:p w14:paraId="6E00EEA9" w14:textId="77777777" w:rsidR="00BC58DF" w:rsidRDefault="00BC58DF">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BC58DF" w14:paraId="38AA375A" w14:textId="77777777">
        <w:tc>
          <w:tcPr>
            <w:tcW w:w="3360" w:type="dxa"/>
            <w:tcBorders>
              <w:top w:val="single" w:sz="4" w:space="0" w:color="FFFFFF"/>
              <w:left w:val="single" w:sz="4" w:space="0" w:color="FFFFFF"/>
              <w:bottom w:val="single" w:sz="4" w:space="0" w:color="FFFFFF"/>
              <w:right w:val="single" w:sz="4" w:space="0" w:color="FFFFFF"/>
            </w:tcBorders>
            <w:shd w:val="clear" w:color="auto" w:fill="E8F1FB"/>
            <w:tcMar>
              <w:top w:w="180" w:type="dxa"/>
              <w:left w:w="200" w:type="dxa"/>
              <w:bottom w:w="180" w:type="dxa"/>
              <w:right w:w="200" w:type="dxa"/>
            </w:tcMar>
          </w:tcPr>
          <w:p w14:paraId="34D0C16E" w14:textId="77777777" w:rsidR="00BC58DF" w:rsidRDefault="00000000">
            <w:pPr>
              <w:spacing w:after="60"/>
            </w:pPr>
            <w:r>
              <w:rPr>
                <w:b/>
                <w:bCs/>
                <w:color w:val="0B2447"/>
                <w:sz w:val="40"/>
                <w:szCs w:val="40"/>
              </w:rPr>
              <w:t>78%</w:t>
            </w:r>
          </w:p>
          <w:p w14:paraId="4799725A" w14:textId="77777777" w:rsidR="00BC58DF" w:rsidRDefault="00000000">
            <w:pPr>
              <w:spacing w:line="280" w:lineRule="auto"/>
            </w:pPr>
            <w:r>
              <w:rPr>
                <w:sz w:val="19"/>
                <w:szCs w:val="19"/>
              </w:rPr>
              <w:t>Of enterprise AI teams have at least one MCP-backed agent in production (Q2 2026)</w:t>
            </w:r>
          </w:p>
        </w:tc>
        <w:tc>
          <w:tcPr>
            <w:tcW w:w="3360" w:type="dxa"/>
            <w:tcBorders>
              <w:top w:val="single" w:sz="4" w:space="0" w:color="FFFFFF"/>
              <w:left w:val="single" w:sz="4" w:space="0" w:color="FFFFFF"/>
              <w:bottom w:val="single" w:sz="4" w:space="0" w:color="FFFFFF"/>
              <w:right w:val="single" w:sz="4" w:space="0" w:color="FFFFFF"/>
            </w:tcBorders>
            <w:shd w:val="clear" w:color="auto" w:fill="E8F1FB"/>
            <w:tcMar>
              <w:top w:w="180" w:type="dxa"/>
              <w:left w:w="200" w:type="dxa"/>
              <w:bottom w:w="180" w:type="dxa"/>
              <w:right w:w="200" w:type="dxa"/>
            </w:tcMar>
          </w:tcPr>
          <w:p w14:paraId="64C4B4EB" w14:textId="77777777" w:rsidR="00BC58DF" w:rsidRDefault="00000000">
            <w:pPr>
              <w:spacing w:after="60"/>
            </w:pPr>
            <w:r>
              <w:rPr>
                <w:b/>
                <w:bCs/>
                <w:color w:val="0B2447"/>
                <w:sz w:val="40"/>
                <w:szCs w:val="40"/>
              </w:rPr>
              <w:t>18,500+</w:t>
            </w:r>
          </w:p>
          <w:p w14:paraId="695D8D7C" w14:textId="77777777" w:rsidR="00BC58DF" w:rsidRDefault="00000000">
            <w:pPr>
              <w:spacing w:line="280" w:lineRule="auto"/>
            </w:pPr>
            <w:r>
              <w:rPr>
                <w:sz w:val="19"/>
                <w:szCs w:val="19"/>
              </w:rPr>
              <w:t xml:space="preserve">Salesforce </w:t>
            </w:r>
            <w:proofErr w:type="spellStart"/>
            <w:r>
              <w:rPr>
                <w:sz w:val="19"/>
                <w:szCs w:val="19"/>
              </w:rPr>
              <w:t>Agentforce</w:t>
            </w:r>
            <w:proofErr w:type="spellEnd"/>
            <w:r>
              <w:rPr>
                <w:sz w:val="19"/>
                <w:szCs w:val="19"/>
              </w:rPr>
              <w:t xml:space="preserve"> deals signed; SAP Joule Studio GA in Q1 2026</w:t>
            </w:r>
          </w:p>
        </w:tc>
        <w:tc>
          <w:tcPr>
            <w:tcW w:w="3360" w:type="dxa"/>
            <w:tcBorders>
              <w:top w:val="single" w:sz="4" w:space="0" w:color="FFFFFF"/>
              <w:left w:val="single" w:sz="4" w:space="0" w:color="FFFFFF"/>
              <w:bottom w:val="single" w:sz="4" w:space="0" w:color="FFFFFF"/>
              <w:right w:val="single" w:sz="4" w:space="0" w:color="FFFFFF"/>
            </w:tcBorders>
            <w:shd w:val="clear" w:color="auto" w:fill="E8F1FB"/>
            <w:tcMar>
              <w:top w:w="180" w:type="dxa"/>
              <w:left w:w="200" w:type="dxa"/>
              <w:bottom w:w="180" w:type="dxa"/>
              <w:right w:w="200" w:type="dxa"/>
            </w:tcMar>
          </w:tcPr>
          <w:p w14:paraId="4509C063" w14:textId="77777777" w:rsidR="00BC58DF" w:rsidRDefault="00000000">
            <w:pPr>
              <w:spacing w:after="60"/>
            </w:pPr>
            <w:r>
              <w:rPr>
                <w:b/>
                <w:bCs/>
                <w:color w:val="0B2447"/>
                <w:sz w:val="40"/>
                <w:szCs w:val="40"/>
              </w:rPr>
              <w:t>1.7x</w:t>
            </w:r>
          </w:p>
          <w:p w14:paraId="222676D9" w14:textId="77777777" w:rsidR="00BC58DF" w:rsidRDefault="00000000">
            <w:pPr>
              <w:spacing w:line="280" w:lineRule="auto"/>
            </w:pPr>
            <w:r>
              <w:rPr>
                <w:sz w:val="19"/>
                <w:szCs w:val="19"/>
              </w:rPr>
              <w:t>Average enterprise AI ROI in 12–18 months when grounded and governed</w:t>
            </w:r>
          </w:p>
        </w:tc>
      </w:tr>
    </w:tbl>
    <w:p w14:paraId="751A4D56" w14:textId="77777777" w:rsidR="00BC58DF" w:rsidRDefault="00BC58DF">
      <w:pPr>
        <w:spacing w:after="200"/>
      </w:pPr>
    </w:p>
    <w:p w14:paraId="0D15CDB0" w14:textId="77777777" w:rsidR="00BC58DF" w:rsidRDefault="00000000">
      <w:pPr>
        <w:pStyle w:val="Heading3"/>
        <w:spacing w:line="300" w:lineRule="auto"/>
      </w:pPr>
      <w:r>
        <w:t>The NXπ wedge</w:t>
      </w:r>
    </w:p>
    <w:p w14:paraId="18808C91" w14:textId="77777777" w:rsidR="00BC58DF" w:rsidRDefault="00000000">
      <w:pPr>
        <w:pStyle w:val="ListParagraph"/>
        <w:numPr>
          <w:ilvl w:val="0"/>
          <w:numId w:val="2"/>
        </w:numPr>
        <w:spacing w:after="80" w:line="300" w:lineRule="auto"/>
      </w:pPr>
      <w:r>
        <w:rPr>
          <w:b/>
          <w:bCs/>
          <w:color w:val="0B2447"/>
        </w:rPr>
        <w:t xml:space="preserve">Vendor-neutral by design. </w:t>
      </w:r>
      <w:r>
        <w:t>10+ LLM providers, 40+ models, open MCP standard. No graph lock-in, no model lock-in.</w:t>
      </w:r>
    </w:p>
    <w:p w14:paraId="169D4FED" w14:textId="77777777" w:rsidR="00BC58DF" w:rsidRDefault="00000000">
      <w:pPr>
        <w:pStyle w:val="ListParagraph"/>
        <w:numPr>
          <w:ilvl w:val="0"/>
          <w:numId w:val="2"/>
        </w:numPr>
        <w:spacing w:after="80" w:line="300" w:lineRule="auto"/>
      </w:pPr>
      <w:r>
        <w:rPr>
          <w:b/>
          <w:bCs/>
          <w:color w:val="0B2447"/>
        </w:rPr>
        <w:t xml:space="preserve">SAP and Salesforce as first-class peers. </w:t>
      </w:r>
      <w:r>
        <w:t xml:space="preserve">Native MCP integration with SAP HANA Cloud, S/4HANA, BTP, Salesforce REST, MuleSoft, Data Cloud, and </w:t>
      </w:r>
      <w:proofErr w:type="spellStart"/>
      <w:r>
        <w:t>Agentforce</w:t>
      </w:r>
      <w:proofErr w:type="spellEnd"/>
      <w:r>
        <w:t xml:space="preserve"> A2A.</w:t>
      </w:r>
    </w:p>
    <w:p w14:paraId="2C0FE1E2" w14:textId="77777777" w:rsidR="00BC58DF" w:rsidRDefault="00000000">
      <w:pPr>
        <w:pStyle w:val="ListParagraph"/>
        <w:numPr>
          <w:ilvl w:val="0"/>
          <w:numId w:val="2"/>
        </w:numPr>
        <w:spacing w:after="80" w:line="300" w:lineRule="auto"/>
      </w:pPr>
      <w:r>
        <w:rPr>
          <w:b/>
          <w:bCs/>
          <w:color w:val="0B2447"/>
        </w:rPr>
        <w:lastRenderedPageBreak/>
        <w:t xml:space="preserve">Governance is the platform, not a bolt-on. </w:t>
      </w:r>
      <w:r>
        <w:t>RBAC, label policies, per-user MCP access, full audit trail, EU AI Act / SOC 2 / GDPR / HIPAA / SOX ready from day one.</w:t>
      </w:r>
    </w:p>
    <w:p w14:paraId="78596A13" w14:textId="77777777" w:rsidR="00BC58DF" w:rsidRDefault="00000000">
      <w:pPr>
        <w:pStyle w:val="ListParagraph"/>
        <w:numPr>
          <w:ilvl w:val="0"/>
          <w:numId w:val="2"/>
        </w:numPr>
        <w:spacing w:after="80" w:line="300" w:lineRule="auto"/>
      </w:pPr>
      <w:r>
        <w:rPr>
          <w:b/>
          <w:bCs/>
          <w:color w:val="0B2447"/>
        </w:rPr>
        <w:t xml:space="preserve">Self-hosted when you need it. </w:t>
      </w:r>
      <w:r>
        <w:t>On-prem, private cloud, or hybrid. Ollama for fully local inference — data never leaves the perimeter.</w:t>
      </w:r>
    </w:p>
    <w:p w14:paraId="194745FA" w14:textId="77777777" w:rsidR="00BC58DF" w:rsidRDefault="00000000">
      <w:pPr>
        <w:pStyle w:val="ListParagraph"/>
        <w:numPr>
          <w:ilvl w:val="0"/>
          <w:numId w:val="2"/>
        </w:numPr>
        <w:spacing w:after="80" w:line="300" w:lineRule="auto"/>
      </w:pPr>
      <w:r>
        <w:rPr>
          <w:b/>
          <w:bCs/>
          <w:color w:val="0B2447"/>
        </w:rPr>
        <w:t xml:space="preserve">One platform, six surfaces. </w:t>
      </w:r>
      <w:r>
        <w:t>Chat, multi-agent orchestration, hybrid RAG, visual workflows, scheduled automation, and a unified data layer — under one control plane.</w:t>
      </w:r>
    </w:p>
    <w:p w14:paraId="5E545106" w14:textId="77777777" w:rsidR="00BC58DF" w:rsidRDefault="00000000">
      <w:r>
        <w:br w:type="page"/>
      </w:r>
    </w:p>
    <w:p w14:paraId="63B53EC6" w14:textId="77777777" w:rsidR="00BC58DF" w:rsidRDefault="00000000">
      <w:pPr>
        <w:spacing w:before="240" w:after="80"/>
      </w:pPr>
      <w:r>
        <w:rPr>
          <w:b/>
          <w:bCs/>
          <w:color w:val="0EA5A4"/>
          <w:spacing w:val="40"/>
          <w:sz w:val="18"/>
          <w:szCs w:val="18"/>
        </w:rPr>
        <w:lastRenderedPageBreak/>
        <w:t>THE PLATFORM</w:t>
      </w:r>
    </w:p>
    <w:p w14:paraId="3B362BD7" w14:textId="77777777" w:rsidR="00BC58DF" w:rsidRDefault="00000000">
      <w:pPr>
        <w:pStyle w:val="Heading1"/>
        <w:pBdr>
          <w:bottom w:val="single" w:sz="12" w:space="6" w:color="2E75B6"/>
        </w:pBdr>
        <w:spacing w:line="320" w:lineRule="auto"/>
      </w:pPr>
      <w:r>
        <w:t>2. NXπ Platform Overview</w:t>
      </w:r>
    </w:p>
    <w:p w14:paraId="283C9EE3" w14:textId="77777777" w:rsidR="00BC58DF" w:rsidRDefault="00000000">
      <w:pPr>
        <w:spacing w:after="120" w:line="340" w:lineRule="auto"/>
      </w:pPr>
      <w:r>
        <w:rPr>
          <w:b/>
          <w:bCs/>
          <w:color w:val="0B2447"/>
          <w:sz w:val="26"/>
          <w:szCs w:val="26"/>
        </w:rPr>
        <w:t>NXπ is a single, governed AI operations platform.</w:t>
      </w:r>
    </w:p>
    <w:p w14:paraId="38A844C1" w14:textId="77777777" w:rsidR="00BC58DF" w:rsidRDefault="00000000">
      <w:pPr>
        <w:spacing w:after="120" w:line="340" w:lineRule="auto"/>
      </w:pPr>
      <w:r>
        <w:t>It is the layer where your data, models, agents, and workflows meet — connected to every enterprise system through the open Model Context Protocol, grounded in your real organizational knowledge through hybrid retrieval, and supervised by enterprise-grade governance from the first prompt to the audit log.</w:t>
      </w:r>
    </w:p>
    <w:p w14:paraId="2A62753C" w14:textId="77777777" w:rsidR="00BC58DF" w:rsidRDefault="00000000">
      <w:pPr>
        <w:spacing w:after="200" w:line="340" w:lineRule="auto"/>
      </w:pPr>
      <w:r>
        <w:t>Where point solutions force you to choose between productivity (Copilot), CRM (</w:t>
      </w:r>
      <w:proofErr w:type="spellStart"/>
      <w:r>
        <w:t>Agentforce</w:t>
      </w:r>
      <w:proofErr w:type="spellEnd"/>
      <w:r>
        <w:t>), or knowledge (Glean), NXπ unifies all three categories — and adds the SAP and database depth that today’s agentic platforms still ignore.</w:t>
      </w:r>
    </w:p>
    <w:p w14:paraId="1E383F76" w14:textId="77777777" w:rsidR="00BC58DF" w:rsidRDefault="00000000">
      <w:pPr>
        <w:pStyle w:val="Heading2"/>
        <w:spacing w:line="320" w:lineRule="auto"/>
      </w:pPr>
      <w:r>
        <w:t>Hero — Headline Options</w:t>
      </w:r>
    </w:p>
    <w:p w14:paraId="6EE76256" w14:textId="77777777" w:rsidR="00BC58DF" w:rsidRDefault="00000000">
      <w:pPr>
        <w:spacing w:after="200" w:line="300" w:lineRule="auto"/>
      </w:pPr>
      <w:r>
        <w:rPr>
          <w:i/>
          <w:iCs/>
        </w:rPr>
        <w:t>The following headline + subhead pairs are calibrated for a bold, category-defining hero. Recommend running #1 with a CXO landing page and #3 with a technical buyer page.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880"/>
      </w:tblGrid>
      <w:tr w:rsidR="00BC58DF" w14:paraId="72C674A8" w14:textId="77777777">
        <w:trPr>
          <w:tblHeader/>
        </w:trPr>
        <w:tc>
          <w:tcPr>
            <w:tcW w:w="1200" w:type="dxa"/>
            <w:tcBorders>
              <w:top w:val="single" w:sz="4" w:space="0" w:color="D1D5DB"/>
              <w:left w:val="single" w:sz="4" w:space="0" w:color="D1D5DB"/>
              <w:bottom w:val="single" w:sz="4" w:space="0" w:color="D1D5DB"/>
              <w:right w:val="single" w:sz="4" w:space="0" w:color="D1D5DB"/>
            </w:tcBorders>
            <w:shd w:val="clear" w:color="auto" w:fill="0B2447"/>
            <w:tcMar>
              <w:top w:w="120" w:type="dxa"/>
              <w:left w:w="160" w:type="dxa"/>
              <w:bottom w:w="120" w:type="dxa"/>
              <w:right w:w="160" w:type="dxa"/>
            </w:tcMar>
          </w:tcPr>
          <w:p w14:paraId="3DB48098" w14:textId="77777777" w:rsidR="00BC58DF" w:rsidRDefault="00000000">
            <w:r>
              <w:rPr>
                <w:b/>
                <w:bCs/>
                <w:color w:val="FFFFFF"/>
              </w:rPr>
              <w:t>Variant</w:t>
            </w:r>
          </w:p>
        </w:tc>
        <w:tc>
          <w:tcPr>
            <w:tcW w:w="8880" w:type="dxa"/>
            <w:tcBorders>
              <w:top w:val="single" w:sz="4" w:space="0" w:color="D1D5DB"/>
              <w:left w:val="single" w:sz="4" w:space="0" w:color="D1D5DB"/>
              <w:bottom w:val="single" w:sz="4" w:space="0" w:color="D1D5DB"/>
              <w:right w:val="single" w:sz="4" w:space="0" w:color="D1D5DB"/>
            </w:tcBorders>
            <w:shd w:val="clear" w:color="auto" w:fill="0B2447"/>
            <w:tcMar>
              <w:top w:w="120" w:type="dxa"/>
              <w:left w:w="160" w:type="dxa"/>
              <w:bottom w:w="120" w:type="dxa"/>
              <w:right w:w="160" w:type="dxa"/>
            </w:tcMar>
          </w:tcPr>
          <w:p w14:paraId="50B60ABA" w14:textId="77777777" w:rsidR="00BC58DF" w:rsidRDefault="00000000">
            <w:r>
              <w:rPr>
                <w:b/>
                <w:bCs/>
                <w:color w:val="FFFFFF"/>
              </w:rPr>
              <w:t>Headline &amp; Subhead</w:t>
            </w:r>
          </w:p>
        </w:tc>
      </w:tr>
      <w:tr w:rsidR="00BC58DF" w14:paraId="267A80DB" w14:textId="77777777">
        <w:tc>
          <w:tcPr>
            <w:tcW w:w="1200" w:type="dxa"/>
            <w:tcBorders>
              <w:top w:val="single" w:sz="4" w:space="0" w:color="D1D5DB"/>
              <w:left w:val="single" w:sz="4" w:space="0" w:color="D1D5DB"/>
              <w:bottom w:val="single" w:sz="4" w:space="0" w:color="D1D5DB"/>
              <w:right w:val="single" w:sz="4" w:space="0" w:color="D1D5DB"/>
            </w:tcBorders>
            <w:shd w:val="clear" w:color="auto" w:fill="E8F1FB"/>
            <w:tcMar>
              <w:top w:w="120" w:type="dxa"/>
              <w:left w:w="160" w:type="dxa"/>
              <w:bottom w:w="120" w:type="dxa"/>
              <w:right w:w="160" w:type="dxa"/>
            </w:tcMar>
          </w:tcPr>
          <w:p w14:paraId="4276513C" w14:textId="77777777" w:rsidR="00BC58DF" w:rsidRDefault="00000000">
            <w:pPr>
              <w:spacing w:line="280" w:lineRule="auto"/>
            </w:pPr>
            <w:r>
              <w:rPr>
                <w:b/>
                <w:bCs/>
                <w:color w:val="0B2447"/>
                <w:sz w:val="20"/>
                <w:szCs w:val="20"/>
              </w:rPr>
              <w:t>#1</w:t>
            </w:r>
          </w:p>
        </w:tc>
        <w:tc>
          <w:tcPr>
            <w:tcW w:w="888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50173C8B" w14:textId="77777777" w:rsidR="00BC58DF" w:rsidRDefault="00000000">
            <w:pPr>
              <w:spacing w:line="280" w:lineRule="auto"/>
            </w:pPr>
            <w:r>
              <w:rPr>
                <w:sz w:val="20"/>
                <w:szCs w:val="20"/>
              </w:rPr>
              <w:t>The AI control plane for the enterprise. NXπ connects SAP, Salesforce, and every data asset through governed agents — with the audit trail your regulators require and the sovereignty your CISO demands.</w:t>
            </w:r>
          </w:p>
        </w:tc>
      </w:tr>
      <w:tr w:rsidR="00BC58DF" w14:paraId="41F610EC" w14:textId="77777777">
        <w:tc>
          <w:tcPr>
            <w:tcW w:w="1200" w:type="dxa"/>
            <w:tcBorders>
              <w:top w:val="single" w:sz="4" w:space="0" w:color="D1D5DB"/>
              <w:left w:val="single" w:sz="4" w:space="0" w:color="D1D5DB"/>
              <w:bottom w:val="single" w:sz="4" w:space="0" w:color="D1D5DB"/>
              <w:right w:val="single" w:sz="4" w:space="0" w:color="D1D5DB"/>
            </w:tcBorders>
            <w:shd w:val="clear" w:color="auto" w:fill="E8F1FB"/>
            <w:tcMar>
              <w:top w:w="120" w:type="dxa"/>
              <w:left w:w="160" w:type="dxa"/>
              <w:bottom w:w="120" w:type="dxa"/>
              <w:right w:w="160" w:type="dxa"/>
            </w:tcMar>
          </w:tcPr>
          <w:p w14:paraId="44AE1BAA" w14:textId="77777777" w:rsidR="00BC58DF" w:rsidRDefault="00000000">
            <w:pPr>
              <w:spacing w:line="280" w:lineRule="auto"/>
            </w:pPr>
            <w:r>
              <w:rPr>
                <w:b/>
                <w:bCs/>
                <w:color w:val="0B2447"/>
                <w:sz w:val="20"/>
                <w:szCs w:val="20"/>
              </w:rPr>
              <w:t>#2</w:t>
            </w:r>
          </w:p>
        </w:tc>
        <w:tc>
          <w:tcPr>
            <w:tcW w:w="888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666814E2" w14:textId="77777777" w:rsidR="00BC58DF" w:rsidRDefault="00000000">
            <w:pPr>
              <w:spacing w:line="280" w:lineRule="auto"/>
            </w:pPr>
            <w:r>
              <w:rPr>
                <w:sz w:val="20"/>
                <w:szCs w:val="20"/>
              </w:rPr>
              <w:t>One platform. Every agent. Every data source. Every decision logged. NXπ is the MCP-native AI operations layer for the regulated enterprise.</w:t>
            </w:r>
          </w:p>
        </w:tc>
      </w:tr>
      <w:tr w:rsidR="00BC58DF" w14:paraId="5BEA2815" w14:textId="77777777">
        <w:tc>
          <w:tcPr>
            <w:tcW w:w="1200" w:type="dxa"/>
            <w:tcBorders>
              <w:top w:val="single" w:sz="4" w:space="0" w:color="D1D5DB"/>
              <w:left w:val="single" w:sz="4" w:space="0" w:color="D1D5DB"/>
              <w:bottom w:val="single" w:sz="4" w:space="0" w:color="D1D5DB"/>
              <w:right w:val="single" w:sz="4" w:space="0" w:color="D1D5DB"/>
            </w:tcBorders>
            <w:shd w:val="clear" w:color="auto" w:fill="E8F1FB"/>
            <w:tcMar>
              <w:top w:w="120" w:type="dxa"/>
              <w:left w:w="160" w:type="dxa"/>
              <w:bottom w:w="120" w:type="dxa"/>
              <w:right w:w="160" w:type="dxa"/>
            </w:tcMar>
          </w:tcPr>
          <w:p w14:paraId="17F3FA04" w14:textId="77777777" w:rsidR="00BC58DF" w:rsidRDefault="00000000">
            <w:pPr>
              <w:spacing w:line="280" w:lineRule="auto"/>
            </w:pPr>
            <w:r>
              <w:rPr>
                <w:b/>
                <w:bCs/>
                <w:color w:val="0B2447"/>
                <w:sz w:val="20"/>
                <w:szCs w:val="20"/>
              </w:rPr>
              <w:t>#3</w:t>
            </w:r>
          </w:p>
        </w:tc>
        <w:tc>
          <w:tcPr>
            <w:tcW w:w="888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05CB1B7C" w14:textId="77777777" w:rsidR="00BC58DF" w:rsidRDefault="00000000">
            <w:pPr>
              <w:spacing w:line="280" w:lineRule="auto"/>
            </w:pPr>
            <w:r>
              <w:rPr>
                <w:sz w:val="20"/>
                <w:szCs w:val="20"/>
              </w:rPr>
              <w:t>Stop building AI on top of one graph. NXπ is vendor-neutral, MCP-native, and self-hostable — so your agents act across SAP, Salesforce, and your data warehouse without lock-in.</w:t>
            </w:r>
          </w:p>
        </w:tc>
      </w:tr>
      <w:tr w:rsidR="00BC58DF" w14:paraId="08739E08" w14:textId="77777777">
        <w:tc>
          <w:tcPr>
            <w:tcW w:w="1200" w:type="dxa"/>
            <w:tcBorders>
              <w:top w:val="single" w:sz="4" w:space="0" w:color="D1D5DB"/>
              <w:left w:val="single" w:sz="4" w:space="0" w:color="D1D5DB"/>
              <w:bottom w:val="single" w:sz="4" w:space="0" w:color="D1D5DB"/>
              <w:right w:val="single" w:sz="4" w:space="0" w:color="D1D5DB"/>
            </w:tcBorders>
            <w:shd w:val="clear" w:color="auto" w:fill="E8F1FB"/>
            <w:tcMar>
              <w:top w:w="120" w:type="dxa"/>
              <w:left w:w="160" w:type="dxa"/>
              <w:bottom w:w="120" w:type="dxa"/>
              <w:right w:w="160" w:type="dxa"/>
            </w:tcMar>
          </w:tcPr>
          <w:p w14:paraId="411084C5" w14:textId="77777777" w:rsidR="00BC58DF" w:rsidRDefault="00000000">
            <w:pPr>
              <w:spacing w:line="280" w:lineRule="auto"/>
            </w:pPr>
            <w:r>
              <w:rPr>
                <w:b/>
                <w:bCs/>
                <w:color w:val="0B2447"/>
                <w:sz w:val="20"/>
                <w:szCs w:val="20"/>
              </w:rPr>
              <w:t>#4</w:t>
            </w:r>
          </w:p>
        </w:tc>
        <w:tc>
          <w:tcPr>
            <w:tcW w:w="888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31C25CEC" w14:textId="77777777" w:rsidR="00BC58DF" w:rsidRDefault="00000000">
            <w:pPr>
              <w:spacing w:line="280" w:lineRule="auto"/>
            </w:pPr>
            <w:r>
              <w:rPr>
                <w:sz w:val="20"/>
                <w:szCs w:val="20"/>
              </w:rPr>
              <w:t>Agents that act on your business — not just your inbox. Multi-agent orchestration with full token accounting, RBAC, and EU AI Act-ready governance.</w:t>
            </w:r>
          </w:p>
        </w:tc>
      </w:tr>
      <w:tr w:rsidR="00BC58DF" w14:paraId="1A541678" w14:textId="77777777">
        <w:tc>
          <w:tcPr>
            <w:tcW w:w="1200" w:type="dxa"/>
            <w:tcBorders>
              <w:top w:val="single" w:sz="4" w:space="0" w:color="D1D5DB"/>
              <w:left w:val="single" w:sz="4" w:space="0" w:color="D1D5DB"/>
              <w:bottom w:val="single" w:sz="4" w:space="0" w:color="D1D5DB"/>
              <w:right w:val="single" w:sz="4" w:space="0" w:color="D1D5DB"/>
            </w:tcBorders>
            <w:shd w:val="clear" w:color="auto" w:fill="E8F1FB"/>
            <w:tcMar>
              <w:top w:w="120" w:type="dxa"/>
              <w:left w:w="160" w:type="dxa"/>
              <w:bottom w:w="120" w:type="dxa"/>
              <w:right w:w="160" w:type="dxa"/>
            </w:tcMar>
          </w:tcPr>
          <w:p w14:paraId="568259A5" w14:textId="77777777" w:rsidR="00BC58DF" w:rsidRDefault="00000000">
            <w:pPr>
              <w:spacing w:line="280" w:lineRule="auto"/>
            </w:pPr>
            <w:r>
              <w:rPr>
                <w:b/>
                <w:bCs/>
                <w:color w:val="0B2447"/>
                <w:sz w:val="20"/>
                <w:szCs w:val="20"/>
              </w:rPr>
              <w:t>#5</w:t>
            </w:r>
          </w:p>
        </w:tc>
        <w:tc>
          <w:tcPr>
            <w:tcW w:w="888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61B5E662" w14:textId="77777777" w:rsidR="00BC58DF" w:rsidRDefault="00000000">
            <w:pPr>
              <w:spacing w:line="280" w:lineRule="auto"/>
            </w:pPr>
            <w:r>
              <w:rPr>
                <w:sz w:val="20"/>
                <w:szCs w:val="20"/>
              </w:rPr>
              <w:t>Bring AI to your data. Keep your data where it lives. NXπ uses Model Context Protocol to connect, not copy — every query auditable, every action governed.</w:t>
            </w:r>
          </w:p>
        </w:tc>
      </w:tr>
    </w:tbl>
    <w:p w14:paraId="26EEBD68" w14:textId="77777777" w:rsidR="00BC58DF" w:rsidRDefault="00BC58DF">
      <w:pPr>
        <w:spacing w:after="200"/>
      </w:pPr>
    </w:p>
    <w:p w14:paraId="2FE50105" w14:textId="77777777" w:rsidR="00BC58DF" w:rsidRDefault="00000000">
      <w:pPr>
        <w:pStyle w:val="Heading2"/>
        <w:spacing w:line="320" w:lineRule="auto"/>
      </w:pPr>
      <w:r>
        <w:t>Primary CTAs</w:t>
      </w:r>
    </w:p>
    <w:p w14:paraId="7F64E62B" w14:textId="77777777" w:rsidR="00BC58DF" w:rsidRDefault="00000000">
      <w:pPr>
        <w:pStyle w:val="ListParagraph"/>
        <w:numPr>
          <w:ilvl w:val="0"/>
          <w:numId w:val="2"/>
        </w:numPr>
        <w:spacing w:after="80" w:line="300" w:lineRule="auto"/>
      </w:pPr>
      <w:r>
        <w:t>Book an executive briefing — for CXO landing pages.</w:t>
      </w:r>
    </w:p>
    <w:p w14:paraId="5CDEF927" w14:textId="77777777" w:rsidR="00BC58DF" w:rsidRDefault="00000000">
      <w:pPr>
        <w:pStyle w:val="ListParagraph"/>
        <w:numPr>
          <w:ilvl w:val="0"/>
          <w:numId w:val="2"/>
        </w:numPr>
        <w:spacing w:after="80" w:line="300" w:lineRule="auto"/>
      </w:pPr>
      <w:r>
        <w:t>See the architecture — for technical buyer pages.</w:t>
      </w:r>
    </w:p>
    <w:p w14:paraId="71093ED5" w14:textId="77777777" w:rsidR="00BC58DF" w:rsidRDefault="00000000">
      <w:pPr>
        <w:pStyle w:val="ListParagraph"/>
        <w:numPr>
          <w:ilvl w:val="0"/>
          <w:numId w:val="2"/>
        </w:numPr>
        <w:spacing w:after="80" w:line="300" w:lineRule="auto"/>
      </w:pPr>
      <w:r>
        <w:t>Request a self-hosted trial — for CISO / regulated-industry pages.</w:t>
      </w:r>
    </w:p>
    <w:p w14:paraId="0ABC6047" w14:textId="77777777" w:rsidR="00BC58DF" w:rsidRDefault="00000000">
      <w:pPr>
        <w:pStyle w:val="ListParagraph"/>
        <w:numPr>
          <w:ilvl w:val="0"/>
          <w:numId w:val="2"/>
        </w:numPr>
        <w:spacing w:after="80" w:line="300" w:lineRule="auto"/>
      </w:pPr>
      <w:r>
        <w:lastRenderedPageBreak/>
        <w:t>Read the SAP + Salesforce reference architecture — for integration-led pages.</w:t>
      </w:r>
    </w:p>
    <w:p w14:paraId="77C630AC" w14:textId="77777777" w:rsidR="00BC58DF" w:rsidRDefault="00000000">
      <w:r>
        <w:br w:type="page"/>
      </w:r>
    </w:p>
    <w:p w14:paraId="09462F1F" w14:textId="77777777" w:rsidR="00BC58DF" w:rsidRDefault="00000000">
      <w:pPr>
        <w:spacing w:before="240" w:after="80"/>
      </w:pPr>
      <w:r>
        <w:rPr>
          <w:b/>
          <w:bCs/>
          <w:color w:val="0EA5A4"/>
          <w:spacing w:val="40"/>
          <w:sz w:val="18"/>
          <w:szCs w:val="18"/>
        </w:rPr>
        <w:lastRenderedPageBreak/>
        <w:t>PLATFORM CAPABILITIES</w:t>
      </w:r>
    </w:p>
    <w:p w14:paraId="648A7CAB" w14:textId="77777777" w:rsidR="00BC58DF" w:rsidRDefault="00000000">
      <w:pPr>
        <w:pStyle w:val="Heading1"/>
        <w:pBdr>
          <w:bottom w:val="single" w:sz="12" w:space="6" w:color="2E75B6"/>
        </w:pBdr>
        <w:spacing w:line="320" w:lineRule="auto"/>
      </w:pPr>
      <w:r>
        <w:t>3. The Six Pillars of NXπ</w:t>
      </w:r>
    </w:p>
    <w:p w14:paraId="2FDDA61B" w14:textId="77777777" w:rsidR="00BC58DF" w:rsidRDefault="00000000">
      <w:pPr>
        <w:spacing w:after="200" w:line="320" w:lineRule="auto"/>
      </w:pPr>
      <w:r>
        <w:rPr>
          <w:i/>
          <w:iCs/>
        </w:rPr>
        <w:t>Every capability below is generally available or on the Q2–Q3 2026 release plan. Each pillar is described as it would appear on its own product page, with a positioning sentence, descriptive body, and the proof points your buyer needs.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C58DF" w14:paraId="1F1CBC07" w14:textId="77777777">
        <w:tc>
          <w:tcPr>
            <w:tcW w:w="10080" w:type="dxa"/>
            <w:tcBorders>
              <w:top w:val="single" w:sz="4" w:space="0" w:color="D1D5DB"/>
              <w:left w:val="single" w:sz="4" w:space="0" w:color="D1D5DB"/>
              <w:bottom w:val="single" w:sz="4" w:space="0" w:color="D1D5DB"/>
              <w:right w:val="single" w:sz="4" w:space="0" w:color="D1D5DB"/>
            </w:tcBorders>
            <w:shd w:val="clear" w:color="auto" w:fill="FFFFFF"/>
            <w:tcMar>
              <w:top w:w="240" w:type="dxa"/>
              <w:left w:w="240" w:type="dxa"/>
              <w:bottom w:w="240" w:type="dxa"/>
              <w:right w:w="240" w:type="dxa"/>
            </w:tcMar>
          </w:tcPr>
          <w:p w14:paraId="653A288E" w14:textId="77777777" w:rsidR="00BC58DF" w:rsidRDefault="00000000">
            <w:pPr>
              <w:spacing w:after="60"/>
            </w:pPr>
            <w:r>
              <w:rPr>
                <w:b/>
                <w:bCs/>
                <w:color w:val="0EA5A4"/>
                <w:spacing w:val="40"/>
                <w:sz w:val="16"/>
                <w:szCs w:val="16"/>
              </w:rPr>
              <w:t>PILLAR 1</w:t>
            </w:r>
          </w:p>
          <w:p w14:paraId="0332CC1F" w14:textId="77777777" w:rsidR="00BC58DF" w:rsidRDefault="00000000">
            <w:pPr>
              <w:spacing w:after="100" w:line="300" w:lineRule="auto"/>
            </w:pPr>
            <w:r>
              <w:rPr>
                <w:b/>
                <w:bCs/>
                <w:color w:val="0B2447"/>
                <w:sz w:val="28"/>
                <w:szCs w:val="28"/>
              </w:rPr>
              <w:t>MCP Integration Fabric — every system, one protocol.</w:t>
            </w:r>
          </w:p>
          <w:p w14:paraId="4ECD7064" w14:textId="77777777" w:rsidR="00BC58DF" w:rsidRDefault="00000000">
            <w:pPr>
              <w:spacing w:after="140" w:line="300" w:lineRule="auto"/>
            </w:pPr>
            <w:r>
              <w:rPr>
                <w:sz w:val="21"/>
                <w:szCs w:val="21"/>
              </w:rPr>
              <w:t xml:space="preserve">NXπ is a first-class Model Context Protocol host. SAP HANA Cloud, S/4HANA, BTP, Salesforce REST, MuleSoft, Data Cloud, </w:t>
            </w:r>
            <w:proofErr w:type="spellStart"/>
            <w:r>
              <w:rPr>
                <w:sz w:val="21"/>
                <w:szCs w:val="21"/>
              </w:rPr>
              <w:t>Agentforce</w:t>
            </w:r>
            <w:proofErr w:type="spellEnd"/>
            <w:r>
              <w:rPr>
                <w:sz w:val="21"/>
                <w:szCs w:val="21"/>
              </w:rPr>
              <w:t xml:space="preserve"> A2A, every major database, and 17,000+ community MCP servers all plug into the same governed control plane. Where competitors build proprietary connectors that age out, NXπ rides the open standard that SAP, Salesforce, Microsoft, Anthropic, OpenAI, and Google have all adopted.</w:t>
            </w:r>
          </w:p>
          <w:p w14:paraId="3A5D8FD6" w14:textId="77777777" w:rsidR="00BC58DF" w:rsidRDefault="00000000">
            <w:pPr>
              <w:spacing w:after="60" w:line="280" w:lineRule="auto"/>
              <w:ind w:left="200" w:hanging="200"/>
            </w:pPr>
            <w:r>
              <w:rPr>
                <w:b/>
                <w:bCs/>
                <w:color w:val="2E75B6"/>
                <w:sz w:val="20"/>
                <w:szCs w:val="20"/>
              </w:rPr>
              <w:t xml:space="preserve">▸  </w:t>
            </w:r>
            <w:r>
              <w:rPr>
                <w:sz w:val="20"/>
                <w:szCs w:val="20"/>
              </w:rPr>
              <w:t xml:space="preserve">SSE, </w:t>
            </w:r>
            <w:proofErr w:type="spellStart"/>
            <w:r>
              <w:rPr>
                <w:sz w:val="20"/>
                <w:szCs w:val="20"/>
              </w:rPr>
              <w:t>stdio</w:t>
            </w:r>
            <w:proofErr w:type="spellEnd"/>
            <w:r>
              <w:rPr>
                <w:sz w:val="20"/>
                <w:szCs w:val="20"/>
              </w:rPr>
              <w:t>, and WebSocket transports — connect to any MCP server regardless of deployment model.</w:t>
            </w:r>
          </w:p>
          <w:p w14:paraId="3263D79D" w14:textId="77777777" w:rsidR="00BC58DF" w:rsidRDefault="00000000">
            <w:pPr>
              <w:spacing w:after="60" w:line="280" w:lineRule="auto"/>
              <w:ind w:left="200" w:hanging="200"/>
            </w:pPr>
            <w:r>
              <w:rPr>
                <w:b/>
                <w:bCs/>
                <w:color w:val="2E75B6"/>
                <w:sz w:val="20"/>
                <w:szCs w:val="20"/>
              </w:rPr>
              <w:t xml:space="preserve">▸  </w:t>
            </w:r>
            <w:r>
              <w:rPr>
                <w:sz w:val="20"/>
                <w:szCs w:val="20"/>
              </w:rPr>
              <w:t>OAuth federation with token refresh for SAP BTP and Salesforce Connected Apps.</w:t>
            </w:r>
          </w:p>
          <w:p w14:paraId="3B5377D4" w14:textId="77777777" w:rsidR="00BC58DF" w:rsidRDefault="00000000">
            <w:pPr>
              <w:spacing w:after="60" w:line="280" w:lineRule="auto"/>
              <w:ind w:left="200" w:hanging="200"/>
            </w:pPr>
            <w:r>
              <w:rPr>
                <w:b/>
                <w:bCs/>
                <w:color w:val="2E75B6"/>
                <w:sz w:val="20"/>
                <w:szCs w:val="20"/>
              </w:rPr>
              <w:t xml:space="preserve">▸  </w:t>
            </w:r>
            <w:r>
              <w:rPr>
                <w:sz w:val="20"/>
                <w:szCs w:val="20"/>
              </w:rPr>
              <w:t xml:space="preserve">Per-user MCP access via </w:t>
            </w:r>
            <w:proofErr w:type="spellStart"/>
            <w:r>
              <w:rPr>
                <w:sz w:val="20"/>
                <w:szCs w:val="20"/>
              </w:rPr>
              <w:t>UserMCPAccessTable</w:t>
            </w:r>
            <w:proofErr w:type="spellEnd"/>
            <w:r>
              <w:rPr>
                <w:sz w:val="20"/>
                <w:szCs w:val="20"/>
              </w:rPr>
              <w:t xml:space="preserve"> + label policies — finance sees SAP FI, sales sees Salesforce Opportunity.</w:t>
            </w:r>
          </w:p>
          <w:p w14:paraId="0C28D909" w14:textId="77777777" w:rsidR="00BC58DF" w:rsidRDefault="00000000">
            <w:pPr>
              <w:spacing w:after="60" w:line="280" w:lineRule="auto"/>
              <w:ind w:left="200" w:hanging="200"/>
            </w:pPr>
            <w:r>
              <w:rPr>
                <w:b/>
                <w:bCs/>
                <w:color w:val="2E75B6"/>
                <w:sz w:val="20"/>
                <w:szCs w:val="20"/>
              </w:rPr>
              <w:t xml:space="preserve">▸  </w:t>
            </w:r>
            <w:r>
              <w:rPr>
                <w:sz w:val="20"/>
                <w:szCs w:val="20"/>
              </w:rPr>
              <w:t>Real-time health monitoring with auto-reconnection — protect SAP and Salesforce connectivity SLAs.</w:t>
            </w:r>
          </w:p>
          <w:p w14:paraId="161AD9A8" w14:textId="77777777" w:rsidR="00BC58DF" w:rsidRDefault="00000000">
            <w:pPr>
              <w:spacing w:after="60" w:line="280" w:lineRule="auto"/>
              <w:ind w:left="200" w:hanging="200"/>
            </w:pPr>
            <w:r>
              <w:rPr>
                <w:b/>
                <w:bCs/>
                <w:color w:val="2E75B6"/>
                <w:sz w:val="20"/>
                <w:szCs w:val="20"/>
              </w:rPr>
              <w:t xml:space="preserve">▸  </w:t>
            </w:r>
            <w:r>
              <w:rPr>
                <w:sz w:val="20"/>
                <w:szCs w:val="20"/>
              </w:rPr>
              <w:t>Dynamic tool discovery — self-documenting integrations; agents learn capabilities at runtime.</w:t>
            </w:r>
          </w:p>
        </w:tc>
      </w:tr>
    </w:tbl>
    <w:p w14:paraId="2C6622A6" w14:textId="77777777" w:rsidR="00BC58DF" w:rsidRDefault="00BC58DF">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C58DF" w14:paraId="2CD83ABA" w14:textId="77777777">
        <w:tc>
          <w:tcPr>
            <w:tcW w:w="10080" w:type="dxa"/>
            <w:tcBorders>
              <w:top w:val="single" w:sz="4" w:space="0" w:color="D1D5DB"/>
              <w:left w:val="single" w:sz="4" w:space="0" w:color="D1D5DB"/>
              <w:bottom w:val="single" w:sz="4" w:space="0" w:color="D1D5DB"/>
              <w:right w:val="single" w:sz="4" w:space="0" w:color="D1D5DB"/>
            </w:tcBorders>
            <w:shd w:val="clear" w:color="auto" w:fill="FFFFFF"/>
            <w:tcMar>
              <w:top w:w="240" w:type="dxa"/>
              <w:left w:w="240" w:type="dxa"/>
              <w:bottom w:w="240" w:type="dxa"/>
              <w:right w:w="240" w:type="dxa"/>
            </w:tcMar>
          </w:tcPr>
          <w:p w14:paraId="654C066E" w14:textId="77777777" w:rsidR="00BC58DF" w:rsidRDefault="00000000">
            <w:pPr>
              <w:spacing w:after="60"/>
            </w:pPr>
            <w:r>
              <w:rPr>
                <w:b/>
                <w:bCs/>
                <w:color w:val="0EA5A4"/>
                <w:spacing w:val="40"/>
                <w:sz w:val="16"/>
                <w:szCs w:val="16"/>
              </w:rPr>
              <w:t>PILLAR 2</w:t>
            </w:r>
          </w:p>
          <w:p w14:paraId="309F98C8" w14:textId="77777777" w:rsidR="00BC58DF" w:rsidRDefault="00000000">
            <w:pPr>
              <w:spacing w:after="100" w:line="300" w:lineRule="auto"/>
            </w:pPr>
            <w:r>
              <w:rPr>
                <w:b/>
                <w:bCs/>
                <w:color w:val="0B2447"/>
                <w:sz w:val="28"/>
                <w:szCs w:val="28"/>
              </w:rPr>
              <w:t>Multi-Agent Orchestration — agents that collaborate like teams.</w:t>
            </w:r>
          </w:p>
          <w:p w14:paraId="75B4FCEE" w14:textId="77777777" w:rsidR="00BC58DF" w:rsidRDefault="00000000">
            <w:pPr>
              <w:spacing w:after="140" w:line="300" w:lineRule="auto"/>
            </w:pPr>
            <w:r>
              <w:rPr>
                <w:sz w:val="21"/>
                <w:szCs w:val="21"/>
              </w:rPr>
              <w:t>Build a single agent in five minutes. Compose a multi-agent pipeline in an afternoon. NXπ’s orchestration engine decomposes complex business processes into specialized agents that delegate, escalate, and synthesize — with a complete call tree, per-step token accounting, and a marketplace for reuse across business units.</w:t>
            </w:r>
          </w:p>
          <w:p w14:paraId="3B583338" w14:textId="77777777" w:rsidR="00BC58DF" w:rsidRDefault="00000000">
            <w:pPr>
              <w:spacing w:after="60" w:line="280" w:lineRule="auto"/>
              <w:ind w:left="200" w:hanging="200"/>
            </w:pPr>
            <w:r>
              <w:rPr>
                <w:b/>
                <w:bCs/>
                <w:color w:val="2E75B6"/>
                <w:sz w:val="20"/>
                <w:szCs w:val="20"/>
              </w:rPr>
              <w:t xml:space="preserve">▸  </w:t>
            </w:r>
            <w:r>
              <w:rPr>
                <w:sz w:val="20"/>
                <w:szCs w:val="20"/>
              </w:rPr>
              <w:t>Agent Builder with system prompts, tool bindings, model selection, and knowledge-</w:t>
            </w:r>
            <w:proofErr w:type="spellStart"/>
            <w:r>
              <w:rPr>
                <w:sz w:val="20"/>
                <w:szCs w:val="20"/>
              </w:rPr>
              <w:t>base</w:t>
            </w:r>
            <w:proofErr w:type="spellEnd"/>
            <w:r>
              <w:rPr>
                <w:sz w:val="20"/>
                <w:szCs w:val="20"/>
              </w:rPr>
              <w:t xml:space="preserve"> attachment.</w:t>
            </w:r>
          </w:p>
          <w:p w14:paraId="41B1AF74" w14:textId="77777777" w:rsidR="00BC58DF" w:rsidRDefault="00000000">
            <w:pPr>
              <w:spacing w:after="60" w:line="280" w:lineRule="auto"/>
              <w:ind w:left="200" w:hanging="200"/>
            </w:pPr>
            <w:r>
              <w:rPr>
                <w:b/>
                <w:bCs/>
                <w:color w:val="2E75B6"/>
                <w:sz w:val="20"/>
                <w:szCs w:val="20"/>
              </w:rPr>
              <w:t xml:space="preserve">▸  </w:t>
            </w:r>
            <w:r>
              <w:rPr>
                <w:sz w:val="20"/>
                <w:szCs w:val="20"/>
              </w:rPr>
              <w:t>AI-assisted generation — describe an agent in natural language; NXπ produces a production configuration.</w:t>
            </w:r>
          </w:p>
          <w:p w14:paraId="58A4D340" w14:textId="77777777" w:rsidR="00BC58DF" w:rsidRDefault="00000000">
            <w:pPr>
              <w:spacing w:after="60" w:line="280" w:lineRule="auto"/>
              <w:ind w:left="200" w:hanging="200"/>
            </w:pPr>
            <w:r>
              <w:rPr>
                <w:b/>
                <w:bCs/>
                <w:color w:val="2E75B6"/>
                <w:sz w:val="20"/>
                <w:szCs w:val="20"/>
              </w:rPr>
              <w:t xml:space="preserve">▸  </w:t>
            </w:r>
            <w:r>
              <w:rPr>
                <w:sz w:val="20"/>
                <w:szCs w:val="20"/>
              </w:rPr>
              <w:t>Agent Marketplace with versioning, ratings, and import/export — 80% of agents created without engineering.</w:t>
            </w:r>
          </w:p>
          <w:p w14:paraId="46491D7C" w14:textId="77777777" w:rsidR="00BC58DF" w:rsidRDefault="00000000">
            <w:pPr>
              <w:spacing w:after="60" w:line="280" w:lineRule="auto"/>
              <w:ind w:left="200" w:hanging="200"/>
            </w:pPr>
            <w:r>
              <w:rPr>
                <w:b/>
                <w:bCs/>
                <w:color w:val="2E75B6"/>
                <w:sz w:val="20"/>
                <w:szCs w:val="20"/>
              </w:rPr>
              <w:t xml:space="preserve">▸  </w:t>
            </w:r>
            <w:r>
              <w:rPr>
                <w:sz w:val="20"/>
                <w:szCs w:val="20"/>
              </w:rPr>
              <w:t>Two orchestration modes — agent-as-tool (deterministic) and server-loop (autonomous agentic).</w:t>
            </w:r>
          </w:p>
          <w:p w14:paraId="7DFCF2B6" w14:textId="77777777" w:rsidR="00BC58DF" w:rsidRDefault="00000000">
            <w:pPr>
              <w:spacing w:after="60" w:line="280" w:lineRule="auto"/>
              <w:ind w:left="200" w:hanging="200"/>
            </w:pPr>
            <w:r>
              <w:rPr>
                <w:b/>
                <w:bCs/>
                <w:color w:val="2E75B6"/>
                <w:sz w:val="20"/>
                <w:szCs w:val="20"/>
              </w:rPr>
              <w:t xml:space="preserve">▸  </w:t>
            </w:r>
            <w:r>
              <w:rPr>
                <w:sz w:val="20"/>
                <w:szCs w:val="20"/>
              </w:rPr>
              <w:t>Live token accounting and run persistence — full audit trail of every call, every decision, every cost.</w:t>
            </w:r>
          </w:p>
          <w:p w14:paraId="6BF83A0F" w14:textId="77777777" w:rsidR="00BC58DF" w:rsidRDefault="00000000">
            <w:pPr>
              <w:spacing w:after="60" w:line="280" w:lineRule="auto"/>
              <w:ind w:left="200" w:hanging="200"/>
            </w:pPr>
            <w:r>
              <w:rPr>
                <w:b/>
                <w:bCs/>
                <w:color w:val="2E75B6"/>
                <w:sz w:val="20"/>
                <w:szCs w:val="20"/>
              </w:rPr>
              <w:t xml:space="preserve">▸  </w:t>
            </w:r>
            <w:r>
              <w:rPr>
                <w:sz w:val="20"/>
                <w:szCs w:val="20"/>
              </w:rPr>
              <w:t>Governance built in — visibility controls, model pinning, tool allow-listing, rate limits, kill switch.</w:t>
            </w:r>
          </w:p>
        </w:tc>
      </w:tr>
    </w:tbl>
    <w:p w14:paraId="7E51ACFC" w14:textId="77777777" w:rsidR="00BC58DF" w:rsidRDefault="00BC58DF">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C58DF" w14:paraId="7D798B9C" w14:textId="77777777">
        <w:tc>
          <w:tcPr>
            <w:tcW w:w="10080" w:type="dxa"/>
            <w:tcBorders>
              <w:top w:val="single" w:sz="4" w:space="0" w:color="D1D5DB"/>
              <w:left w:val="single" w:sz="4" w:space="0" w:color="D1D5DB"/>
              <w:bottom w:val="single" w:sz="4" w:space="0" w:color="D1D5DB"/>
              <w:right w:val="single" w:sz="4" w:space="0" w:color="D1D5DB"/>
            </w:tcBorders>
            <w:shd w:val="clear" w:color="auto" w:fill="FFFFFF"/>
            <w:tcMar>
              <w:top w:w="240" w:type="dxa"/>
              <w:left w:w="240" w:type="dxa"/>
              <w:bottom w:w="240" w:type="dxa"/>
              <w:right w:w="240" w:type="dxa"/>
            </w:tcMar>
          </w:tcPr>
          <w:p w14:paraId="1E664153" w14:textId="77777777" w:rsidR="00BC58DF" w:rsidRDefault="00000000">
            <w:pPr>
              <w:spacing w:after="60"/>
            </w:pPr>
            <w:r>
              <w:rPr>
                <w:b/>
                <w:bCs/>
                <w:color w:val="0EA5A4"/>
                <w:spacing w:val="40"/>
                <w:sz w:val="16"/>
                <w:szCs w:val="16"/>
              </w:rPr>
              <w:t>PILLAR 3</w:t>
            </w:r>
          </w:p>
          <w:p w14:paraId="53E4D7B5" w14:textId="77777777" w:rsidR="00BC58DF" w:rsidRDefault="00000000">
            <w:pPr>
              <w:spacing w:after="100" w:line="300" w:lineRule="auto"/>
            </w:pPr>
            <w:r>
              <w:rPr>
                <w:b/>
                <w:bCs/>
                <w:color w:val="0B2447"/>
                <w:sz w:val="28"/>
                <w:szCs w:val="28"/>
              </w:rPr>
              <w:t>Hybrid RAG — your knowledge, treated as a runtime.</w:t>
            </w:r>
          </w:p>
          <w:p w14:paraId="0D340A55" w14:textId="77777777" w:rsidR="00BC58DF" w:rsidRDefault="00000000">
            <w:pPr>
              <w:spacing w:after="140" w:line="300" w:lineRule="auto"/>
            </w:pPr>
            <w:r>
              <w:rPr>
                <w:sz w:val="21"/>
                <w:szCs w:val="21"/>
              </w:rPr>
              <w:t>Hallucinations are not an AI problem. They are a grounding problem. NXπ’s hybrid retrieval combines vector similarity, BM25 keyword matching, and optional neural reranking through Reciprocal Rank Fusion — pushing retrieval recall from the 65–78% you get with vector-only systems to 91%+ on enterprise benchmarks. Every chunk carries source attribution, every answer carries provenance.</w:t>
            </w:r>
          </w:p>
          <w:p w14:paraId="207D0E9C" w14:textId="77777777" w:rsidR="00BC58DF" w:rsidRDefault="00000000">
            <w:pPr>
              <w:spacing w:after="60" w:line="280" w:lineRule="auto"/>
              <w:ind w:left="200" w:hanging="200"/>
            </w:pPr>
            <w:r>
              <w:rPr>
                <w:b/>
                <w:bCs/>
                <w:color w:val="2E75B6"/>
                <w:sz w:val="20"/>
                <w:szCs w:val="20"/>
              </w:rPr>
              <w:t xml:space="preserve">▸  </w:t>
            </w:r>
            <w:r>
              <w:rPr>
                <w:sz w:val="20"/>
                <w:szCs w:val="20"/>
              </w:rPr>
              <w:t xml:space="preserve">Native </w:t>
            </w:r>
            <w:proofErr w:type="spellStart"/>
            <w:r>
              <w:rPr>
                <w:sz w:val="20"/>
                <w:szCs w:val="20"/>
              </w:rPr>
              <w:t>pgvector</w:t>
            </w:r>
            <w:proofErr w:type="spellEnd"/>
            <w:r>
              <w:rPr>
                <w:sz w:val="20"/>
                <w:szCs w:val="20"/>
              </w:rPr>
              <w:t xml:space="preserve"> + </w:t>
            </w:r>
            <w:proofErr w:type="spellStart"/>
            <w:r>
              <w:rPr>
                <w:sz w:val="20"/>
                <w:szCs w:val="20"/>
              </w:rPr>
              <w:t>tsvector</w:t>
            </w:r>
            <w:proofErr w:type="spellEnd"/>
            <w:r>
              <w:rPr>
                <w:sz w:val="20"/>
                <w:szCs w:val="20"/>
              </w:rPr>
              <w:t xml:space="preserve"> dual indexing in PostgreSQL — no second database to operate.</w:t>
            </w:r>
          </w:p>
          <w:p w14:paraId="78A64532" w14:textId="77777777" w:rsidR="00BC58DF" w:rsidRDefault="00000000">
            <w:pPr>
              <w:spacing w:after="60" w:line="280" w:lineRule="auto"/>
              <w:ind w:left="200" w:hanging="200"/>
            </w:pPr>
            <w:r>
              <w:rPr>
                <w:b/>
                <w:bCs/>
                <w:color w:val="2E75B6"/>
                <w:sz w:val="20"/>
                <w:szCs w:val="20"/>
              </w:rPr>
              <w:t xml:space="preserve">▸  </w:t>
            </w:r>
            <w:r>
              <w:rPr>
                <w:sz w:val="20"/>
                <w:szCs w:val="20"/>
              </w:rPr>
              <w:t>OpenAI text-embedding-3-small (1536D) default; pluggable to any embedding model.</w:t>
            </w:r>
          </w:p>
          <w:p w14:paraId="1DB976CB" w14:textId="77777777" w:rsidR="00BC58DF" w:rsidRDefault="00000000">
            <w:pPr>
              <w:spacing w:after="60" w:line="280" w:lineRule="auto"/>
              <w:ind w:left="200" w:hanging="200"/>
            </w:pPr>
            <w:r>
              <w:rPr>
                <w:b/>
                <w:bCs/>
                <w:color w:val="2E75B6"/>
                <w:sz w:val="20"/>
                <w:szCs w:val="20"/>
              </w:rPr>
              <w:t xml:space="preserve">▸  </w:t>
            </w:r>
            <w:proofErr w:type="spellStart"/>
            <w:r>
              <w:rPr>
                <w:sz w:val="20"/>
                <w:szCs w:val="20"/>
              </w:rPr>
              <w:t>LangChain</w:t>
            </w:r>
            <w:proofErr w:type="spellEnd"/>
            <w:r>
              <w:rPr>
                <w:sz w:val="20"/>
                <w:szCs w:val="20"/>
              </w:rPr>
              <w:t xml:space="preserve"> ingestion across 20+ formats — PDF, DOCX, XLSX, MD, CSV, HTML, transcripts.</w:t>
            </w:r>
          </w:p>
          <w:p w14:paraId="6F0F0550" w14:textId="77777777" w:rsidR="00BC58DF" w:rsidRDefault="00000000">
            <w:pPr>
              <w:spacing w:after="60" w:line="280" w:lineRule="auto"/>
              <w:ind w:left="200" w:hanging="200"/>
            </w:pPr>
            <w:r>
              <w:rPr>
                <w:b/>
                <w:bCs/>
                <w:color w:val="2E75B6"/>
                <w:sz w:val="20"/>
                <w:szCs w:val="20"/>
              </w:rPr>
              <w:t xml:space="preserve">▸  </w:t>
            </w:r>
            <w:r>
              <w:rPr>
                <w:sz w:val="20"/>
                <w:szCs w:val="20"/>
              </w:rPr>
              <w:t xml:space="preserve">Optional Cohere </w:t>
            </w:r>
            <w:proofErr w:type="spellStart"/>
            <w:r>
              <w:rPr>
                <w:sz w:val="20"/>
                <w:szCs w:val="20"/>
              </w:rPr>
              <w:t>reranker</w:t>
            </w:r>
            <w:proofErr w:type="spellEnd"/>
            <w:r>
              <w:rPr>
                <w:sz w:val="20"/>
                <w:szCs w:val="20"/>
              </w:rPr>
              <w:t xml:space="preserve"> for precision-critical workloads.</w:t>
            </w:r>
          </w:p>
          <w:p w14:paraId="2E4BB76A" w14:textId="77777777" w:rsidR="00BC58DF" w:rsidRDefault="00000000">
            <w:pPr>
              <w:spacing w:after="60" w:line="280" w:lineRule="auto"/>
              <w:ind w:left="200" w:hanging="200"/>
            </w:pPr>
            <w:r>
              <w:rPr>
                <w:b/>
                <w:bCs/>
                <w:color w:val="2E75B6"/>
                <w:sz w:val="20"/>
                <w:szCs w:val="20"/>
              </w:rPr>
              <w:t xml:space="preserve">▸  </w:t>
            </w:r>
            <w:r>
              <w:rPr>
                <w:sz w:val="20"/>
                <w:szCs w:val="20"/>
              </w:rPr>
              <w:t>Multi-scope: thread, user, organization, SAP-grounded, Salesforce-grounded.</w:t>
            </w:r>
          </w:p>
          <w:p w14:paraId="29C81FD2" w14:textId="77777777" w:rsidR="00BC58DF" w:rsidRDefault="00000000">
            <w:pPr>
              <w:spacing w:after="60" w:line="280" w:lineRule="auto"/>
              <w:ind w:left="200" w:hanging="200"/>
            </w:pPr>
            <w:r>
              <w:rPr>
                <w:b/>
                <w:bCs/>
                <w:color w:val="2E75B6"/>
                <w:sz w:val="20"/>
                <w:szCs w:val="20"/>
              </w:rPr>
              <w:t xml:space="preserve">▸  </w:t>
            </w:r>
            <w:r>
              <w:rPr>
                <w:sz w:val="20"/>
                <w:szCs w:val="20"/>
              </w:rPr>
              <w:t>PII detection and masking before any chunk reaches the LLM context window.</w:t>
            </w:r>
          </w:p>
        </w:tc>
      </w:tr>
    </w:tbl>
    <w:p w14:paraId="3AEDD516" w14:textId="77777777" w:rsidR="00BC58DF" w:rsidRDefault="00BC58DF">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C58DF" w14:paraId="77AF794D" w14:textId="77777777">
        <w:tc>
          <w:tcPr>
            <w:tcW w:w="10080" w:type="dxa"/>
            <w:tcBorders>
              <w:top w:val="single" w:sz="4" w:space="0" w:color="D1D5DB"/>
              <w:left w:val="single" w:sz="4" w:space="0" w:color="D1D5DB"/>
              <w:bottom w:val="single" w:sz="4" w:space="0" w:color="D1D5DB"/>
              <w:right w:val="single" w:sz="4" w:space="0" w:color="D1D5DB"/>
            </w:tcBorders>
            <w:shd w:val="clear" w:color="auto" w:fill="FFFFFF"/>
            <w:tcMar>
              <w:top w:w="240" w:type="dxa"/>
              <w:left w:w="240" w:type="dxa"/>
              <w:bottom w:w="240" w:type="dxa"/>
              <w:right w:w="240" w:type="dxa"/>
            </w:tcMar>
          </w:tcPr>
          <w:p w14:paraId="511478BE" w14:textId="77777777" w:rsidR="00BC58DF" w:rsidRDefault="00000000">
            <w:pPr>
              <w:spacing w:after="60"/>
            </w:pPr>
            <w:r>
              <w:rPr>
                <w:b/>
                <w:bCs/>
                <w:color w:val="0EA5A4"/>
                <w:spacing w:val="40"/>
                <w:sz w:val="16"/>
                <w:szCs w:val="16"/>
              </w:rPr>
              <w:t>PILLAR 4</w:t>
            </w:r>
          </w:p>
          <w:p w14:paraId="1969035E" w14:textId="77777777" w:rsidR="00BC58DF" w:rsidRDefault="00000000">
            <w:pPr>
              <w:spacing w:after="100" w:line="300" w:lineRule="auto"/>
            </w:pPr>
            <w:r>
              <w:rPr>
                <w:b/>
                <w:bCs/>
                <w:color w:val="0B2447"/>
                <w:sz w:val="28"/>
                <w:szCs w:val="28"/>
              </w:rPr>
              <w:t>Workflow Automation — no-code orchestration on a DAG runtime.</w:t>
            </w:r>
          </w:p>
          <w:p w14:paraId="6CB2E7AA" w14:textId="77777777" w:rsidR="00BC58DF" w:rsidRDefault="00000000">
            <w:pPr>
              <w:spacing w:after="140" w:line="300" w:lineRule="auto"/>
            </w:pPr>
            <w:r>
              <w:rPr>
                <w:sz w:val="21"/>
                <w:szCs w:val="21"/>
              </w:rPr>
              <w:t>A visual drag-and-drop builder, nine node types, version history, and a DAG execution engine — built so a COO’s team can wire a financial close, a customer onboarding, or a compliance audit prep without writing a line of code. Cron schedules and HMAC-signed webhooks turn workflows into autonomous enterprise processes.</w:t>
            </w:r>
          </w:p>
          <w:p w14:paraId="266E5FA4" w14:textId="77777777" w:rsidR="00BC58DF" w:rsidRDefault="00000000">
            <w:pPr>
              <w:spacing w:after="60" w:line="280" w:lineRule="auto"/>
              <w:ind w:left="200" w:hanging="200"/>
            </w:pPr>
            <w:r>
              <w:rPr>
                <w:b/>
                <w:bCs/>
                <w:color w:val="2E75B6"/>
                <w:sz w:val="20"/>
                <w:szCs w:val="20"/>
              </w:rPr>
              <w:t xml:space="preserve">▸  </w:t>
            </w:r>
            <w:r>
              <w:rPr>
                <w:sz w:val="20"/>
                <w:szCs w:val="20"/>
              </w:rPr>
              <w:t>Nine node types — Input, Output, LLM, Tool, Condition, HTTP, Template, Agent, Note.</w:t>
            </w:r>
          </w:p>
          <w:p w14:paraId="7357EC38" w14:textId="77777777" w:rsidR="00BC58DF" w:rsidRDefault="00000000">
            <w:pPr>
              <w:spacing w:after="60" w:line="280" w:lineRule="auto"/>
              <w:ind w:left="200" w:hanging="200"/>
            </w:pPr>
            <w:r>
              <w:rPr>
                <w:b/>
                <w:bCs/>
                <w:color w:val="2E75B6"/>
                <w:sz w:val="20"/>
                <w:szCs w:val="20"/>
              </w:rPr>
              <w:t xml:space="preserve">▸  </w:t>
            </w:r>
            <w:r>
              <w:rPr>
                <w:sz w:val="20"/>
                <w:szCs w:val="20"/>
              </w:rPr>
              <w:t>Cron scheduling with enable/disable toggles and next-run visibility.</w:t>
            </w:r>
          </w:p>
          <w:p w14:paraId="0F0E11CA" w14:textId="77777777" w:rsidR="00BC58DF" w:rsidRDefault="00000000">
            <w:pPr>
              <w:spacing w:after="60" w:line="280" w:lineRule="auto"/>
              <w:ind w:left="200" w:hanging="200"/>
            </w:pPr>
            <w:r>
              <w:rPr>
                <w:b/>
                <w:bCs/>
                <w:color w:val="2E75B6"/>
                <w:sz w:val="20"/>
                <w:szCs w:val="20"/>
              </w:rPr>
              <w:t xml:space="preserve">▸  </w:t>
            </w:r>
            <w:r>
              <w:rPr>
                <w:sz w:val="20"/>
                <w:szCs w:val="20"/>
              </w:rPr>
              <w:t>Bidirectional webhooks — receive from SAP Event Mesh and Salesforce Platform Events; emit to any system.</w:t>
            </w:r>
          </w:p>
          <w:p w14:paraId="29CD2603" w14:textId="77777777" w:rsidR="00BC58DF" w:rsidRDefault="00000000">
            <w:pPr>
              <w:spacing w:after="60" w:line="280" w:lineRule="auto"/>
              <w:ind w:left="200" w:hanging="200"/>
            </w:pPr>
            <w:r>
              <w:rPr>
                <w:b/>
                <w:bCs/>
                <w:color w:val="2E75B6"/>
                <w:sz w:val="20"/>
                <w:szCs w:val="20"/>
              </w:rPr>
              <w:t xml:space="preserve">▸  </w:t>
            </w:r>
            <w:r>
              <w:rPr>
                <w:sz w:val="20"/>
                <w:szCs w:val="20"/>
              </w:rPr>
              <w:t>Per-node execution logs with branching decisions, data flow, and error details captured for audit.</w:t>
            </w:r>
          </w:p>
          <w:p w14:paraId="3E37FA56" w14:textId="77777777" w:rsidR="00BC58DF" w:rsidRDefault="00000000">
            <w:pPr>
              <w:spacing w:after="60" w:line="280" w:lineRule="auto"/>
              <w:ind w:left="200" w:hanging="200"/>
            </w:pPr>
            <w:r>
              <w:rPr>
                <w:b/>
                <w:bCs/>
                <w:color w:val="2E75B6"/>
                <w:sz w:val="20"/>
                <w:szCs w:val="20"/>
              </w:rPr>
              <w:t xml:space="preserve">▸  </w:t>
            </w:r>
            <w:r>
              <w:rPr>
                <w:sz w:val="20"/>
                <w:szCs w:val="20"/>
              </w:rPr>
              <w:t>Version history — every workflow change documented for SOX-grade change management.</w:t>
            </w:r>
          </w:p>
          <w:p w14:paraId="048B8665" w14:textId="77777777" w:rsidR="00BC58DF" w:rsidRDefault="00000000">
            <w:pPr>
              <w:spacing w:after="60" w:line="280" w:lineRule="auto"/>
              <w:ind w:left="200" w:hanging="200"/>
            </w:pPr>
            <w:r>
              <w:rPr>
                <w:b/>
                <w:bCs/>
                <w:color w:val="2E75B6"/>
                <w:sz w:val="20"/>
                <w:szCs w:val="20"/>
              </w:rPr>
              <w:t xml:space="preserve">▸  </w:t>
            </w:r>
            <w:proofErr w:type="spellStart"/>
            <w:r>
              <w:rPr>
                <w:sz w:val="20"/>
                <w:szCs w:val="20"/>
              </w:rPr>
              <w:t>XYFlow</w:t>
            </w:r>
            <w:proofErr w:type="spellEnd"/>
            <w:r>
              <w:rPr>
                <w:sz w:val="20"/>
                <w:szCs w:val="20"/>
              </w:rPr>
              <w:t xml:space="preserve"> 12 canvas with sub-second responsiveness on workflows with hundreds of nodes.</w:t>
            </w:r>
          </w:p>
        </w:tc>
      </w:tr>
    </w:tbl>
    <w:p w14:paraId="21CD6A0C" w14:textId="77777777" w:rsidR="00BC58DF" w:rsidRDefault="00BC58DF">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C58DF" w14:paraId="6A9D375C" w14:textId="77777777">
        <w:tc>
          <w:tcPr>
            <w:tcW w:w="10080" w:type="dxa"/>
            <w:tcBorders>
              <w:top w:val="single" w:sz="4" w:space="0" w:color="D1D5DB"/>
              <w:left w:val="single" w:sz="4" w:space="0" w:color="D1D5DB"/>
              <w:bottom w:val="single" w:sz="4" w:space="0" w:color="D1D5DB"/>
              <w:right w:val="single" w:sz="4" w:space="0" w:color="D1D5DB"/>
            </w:tcBorders>
            <w:shd w:val="clear" w:color="auto" w:fill="FFFFFF"/>
            <w:tcMar>
              <w:top w:w="240" w:type="dxa"/>
              <w:left w:w="240" w:type="dxa"/>
              <w:bottom w:w="240" w:type="dxa"/>
              <w:right w:w="240" w:type="dxa"/>
            </w:tcMar>
          </w:tcPr>
          <w:p w14:paraId="606A1790" w14:textId="77777777" w:rsidR="00BC58DF" w:rsidRDefault="00000000">
            <w:pPr>
              <w:spacing w:after="60"/>
            </w:pPr>
            <w:r>
              <w:rPr>
                <w:b/>
                <w:bCs/>
                <w:color w:val="0EA5A4"/>
                <w:spacing w:val="40"/>
                <w:sz w:val="16"/>
                <w:szCs w:val="16"/>
              </w:rPr>
              <w:t>PILLAR 5</w:t>
            </w:r>
          </w:p>
          <w:p w14:paraId="6116DAE8" w14:textId="77777777" w:rsidR="00BC58DF" w:rsidRDefault="00000000">
            <w:pPr>
              <w:spacing w:after="100" w:line="300" w:lineRule="auto"/>
            </w:pPr>
            <w:r>
              <w:rPr>
                <w:b/>
                <w:bCs/>
                <w:color w:val="0B2447"/>
                <w:sz w:val="28"/>
                <w:szCs w:val="28"/>
              </w:rPr>
              <w:t>Unified Data Layer — vectors are a native data type, not a side project.</w:t>
            </w:r>
          </w:p>
          <w:p w14:paraId="44D8F031" w14:textId="77777777" w:rsidR="00BC58DF" w:rsidRDefault="00000000">
            <w:pPr>
              <w:spacing w:after="140" w:line="300" w:lineRule="auto"/>
            </w:pPr>
            <w:r>
              <w:rPr>
                <w:sz w:val="21"/>
                <w:szCs w:val="21"/>
              </w:rPr>
              <w:t>NXπ treats your enterprise data as an AI data fabric, not a place to copy data from. Relational, document, key-value, graph, vector, file, and stream — accessed where they live, governed by the same RBAC, joined by the same multi-agent pipelines.</w:t>
            </w:r>
          </w:p>
          <w:p w14:paraId="51834F95" w14:textId="77777777" w:rsidR="00BC58DF" w:rsidRDefault="00000000">
            <w:pPr>
              <w:spacing w:after="60" w:line="280" w:lineRule="auto"/>
              <w:ind w:left="200" w:hanging="200"/>
            </w:pPr>
            <w:r>
              <w:rPr>
                <w:b/>
                <w:bCs/>
                <w:color w:val="2E75B6"/>
                <w:sz w:val="20"/>
                <w:szCs w:val="20"/>
              </w:rPr>
              <w:lastRenderedPageBreak/>
              <w:t xml:space="preserve">▸  </w:t>
            </w:r>
            <w:r>
              <w:rPr>
                <w:sz w:val="20"/>
                <w:szCs w:val="20"/>
              </w:rPr>
              <w:t>Relational SQL — PostgreSQL, SAP HANA, Oracle, MySQL, SQL Server, Snowflake.</w:t>
            </w:r>
          </w:p>
          <w:p w14:paraId="3590E16B" w14:textId="77777777" w:rsidR="00BC58DF" w:rsidRDefault="00000000">
            <w:pPr>
              <w:spacing w:after="60" w:line="280" w:lineRule="auto"/>
              <w:ind w:left="200" w:hanging="200"/>
            </w:pPr>
            <w:r>
              <w:rPr>
                <w:b/>
                <w:bCs/>
                <w:color w:val="2E75B6"/>
                <w:sz w:val="20"/>
                <w:szCs w:val="20"/>
              </w:rPr>
              <w:t xml:space="preserve">▸  </w:t>
            </w:r>
            <w:r>
              <w:rPr>
                <w:sz w:val="20"/>
                <w:szCs w:val="20"/>
              </w:rPr>
              <w:t>NoSQL document — MongoDB, Couchbase, DynamoDB, Cosmos DB.</w:t>
            </w:r>
          </w:p>
          <w:p w14:paraId="12249AFE" w14:textId="77777777" w:rsidR="00BC58DF" w:rsidRDefault="00000000">
            <w:pPr>
              <w:spacing w:after="60" w:line="280" w:lineRule="auto"/>
              <w:ind w:left="200" w:hanging="200"/>
            </w:pPr>
            <w:r>
              <w:rPr>
                <w:b/>
                <w:bCs/>
                <w:color w:val="2E75B6"/>
                <w:sz w:val="20"/>
                <w:szCs w:val="20"/>
              </w:rPr>
              <w:t xml:space="preserve">▸  </w:t>
            </w:r>
            <w:r>
              <w:rPr>
                <w:sz w:val="20"/>
                <w:szCs w:val="20"/>
              </w:rPr>
              <w:t>Graph — Neo4j, Amazon Neptune, SAP HANA Graph.</w:t>
            </w:r>
          </w:p>
          <w:p w14:paraId="215AC2F0" w14:textId="77777777" w:rsidR="00BC58DF" w:rsidRDefault="00000000">
            <w:pPr>
              <w:spacing w:after="60" w:line="280" w:lineRule="auto"/>
              <w:ind w:left="200" w:hanging="200"/>
            </w:pPr>
            <w:r>
              <w:rPr>
                <w:b/>
                <w:bCs/>
                <w:color w:val="2E75B6"/>
                <w:sz w:val="20"/>
                <w:szCs w:val="20"/>
              </w:rPr>
              <w:t xml:space="preserve">▸  </w:t>
            </w:r>
            <w:r>
              <w:rPr>
                <w:sz w:val="20"/>
                <w:szCs w:val="20"/>
              </w:rPr>
              <w:t xml:space="preserve">Vector — native </w:t>
            </w:r>
            <w:proofErr w:type="spellStart"/>
            <w:r>
              <w:rPr>
                <w:sz w:val="20"/>
                <w:szCs w:val="20"/>
              </w:rPr>
              <w:t>pgvector</w:t>
            </w:r>
            <w:proofErr w:type="spellEnd"/>
            <w:r>
              <w:rPr>
                <w:sz w:val="20"/>
                <w:szCs w:val="20"/>
              </w:rPr>
              <w:t xml:space="preserve">; pluggable Pinecone, </w:t>
            </w:r>
            <w:proofErr w:type="spellStart"/>
            <w:r>
              <w:rPr>
                <w:sz w:val="20"/>
                <w:szCs w:val="20"/>
              </w:rPr>
              <w:t>Weaviate</w:t>
            </w:r>
            <w:proofErr w:type="spellEnd"/>
            <w:r>
              <w:rPr>
                <w:sz w:val="20"/>
                <w:szCs w:val="20"/>
              </w:rPr>
              <w:t xml:space="preserve">, </w:t>
            </w:r>
            <w:proofErr w:type="spellStart"/>
            <w:r>
              <w:rPr>
                <w:sz w:val="20"/>
                <w:szCs w:val="20"/>
              </w:rPr>
              <w:t>Qdrant</w:t>
            </w:r>
            <w:proofErr w:type="spellEnd"/>
            <w:r>
              <w:rPr>
                <w:sz w:val="20"/>
                <w:szCs w:val="20"/>
              </w:rPr>
              <w:t>.</w:t>
            </w:r>
          </w:p>
          <w:p w14:paraId="31F541A9" w14:textId="77777777" w:rsidR="00BC58DF" w:rsidRDefault="00000000">
            <w:pPr>
              <w:spacing w:after="60" w:line="280" w:lineRule="auto"/>
              <w:ind w:left="200" w:hanging="200"/>
            </w:pPr>
            <w:r>
              <w:rPr>
                <w:b/>
                <w:bCs/>
                <w:color w:val="2E75B6"/>
                <w:sz w:val="20"/>
                <w:szCs w:val="20"/>
              </w:rPr>
              <w:t xml:space="preserve">▸  </w:t>
            </w:r>
            <w:r>
              <w:rPr>
                <w:sz w:val="20"/>
                <w:szCs w:val="20"/>
              </w:rPr>
              <w:t xml:space="preserve">Data lake / warehouse — Snowflake, Databricks, </w:t>
            </w:r>
            <w:proofErr w:type="spellStart"/>
            <w:r>
              <w:rPr>
                <w:sz w:val="20"/>
                <w:szCs w:val="20"/>
              </w:rPr>
              <w:t>BigQuery</w:t>
            </w:r>
            <w:proofErr w:type="spellEnd"/>
            <w:r>
              <w:rPr>
                <w:sz w:val="20"/>
                <w:szCs w:val="20"/>
              </w:rPr>
              <w:t>, Salesforce Data Cloud.</w:t>
            </w:r>
          </w:p>
          <w:p w14:paraId="28E4CD62" w14:textId="77777777" w:rsidR="00BC58DF" w:rsidRDefault="00000000">
            <w:pPr>
              <w:spacing w:after="60" w:line="280" w:lineRule="auto"/>
              <w:ind w:left="200" w:hanging="200"/>
            </w:pPr>
            <w:r>
              <w:rPr>
                <w:b/>
                <w:bCs/>
                <w:color w:val="2E75B6"/>
                <w:sz w:val="20"/>
                <w:szCs w:val="20"/>
              </w:rPr>
              <w:t xml:space="preserve">▸  </w:t>
            </w:r>
            <w:r>
              <w:rPr>
                <w:sz w:val="20"/>
                <w:szCs w:val="20"/>
              </w:rPr>
              <w:t>Unstructured — PDF, Word, Excel, images, audio and video transcripts via built-in RAG pipeline.</w:t>
            </w:r>
          </w:p>
          <w:p w14:paraId="6CA7EC09" w14:textId="77777777" w:rsidR="00BC58DF" w:rsidRDefault="00000000">
            <w:pPr>
              <w:spacing w:after="60" w:line="280" w:lineRule="auto"/>
              <w:ind w:left="200" w:hanging="200"/>
            </w:pPr>
            <w:r>
              <w:rPr>
                <w:b/>
                <w:bCs/>
                <w:color w:val="2E75B6"/>
                <w:sz w:val="20"/>
                <w:szCs w:val="20"/>
              </w:rPr>
              <w:t xml:space="preserve">▸  </w:t>
            </w:r>
            <w:r>
              <w:rPr>
                <w:sz w:val="20"/>
                <w:szCs w:val="20"/>
              </w:rPr>
              <w:t>Streams — Kafka, SAP Event Mesh, Salesforce Platform Events.</w:t>
            </w:r>
          </w:p>
          <w:p w14:paraId="01170165" w14:textId="77777777" w:rsidR="00BC58DF" w:rsidRDefault="00000000">
            <w:pPr>
              <w:spacing w:after="60" w:line="280" w:lineRule="auto"/>
              <w:ind w:left="200" w:hanging="200"/>
            </w:pPr>
            <w:r>
              <w:rPr>
                <w:b/>
                <w:bCs/>
                <w:color w:val="2E75B6"/>
                <w:sz w:val="20"/>
                <w:szCs w:val="20"/>
              </w:rPr>
              <w:t xml:space="preserve">▸  </w:t>
            </w:r>
            <w:r>
              <w:rPr>
                <w:sz w:val="20"/>
                <w:szCs w:val="20"/>
              </w:rPr>
              <w:t>Cross-source joins — one workflow can query SAP HANA, Salesforce, and MongoDB in a single pipeline.</w:t>
            </w:r>
          </w:p>
        </w:tc>
      </w:tr>
    </w:tbl>
    <w:p w14:paraId="2C61C30E" w14:textId="77777777" w:rsidR="00BC58DF" w:rsidRDefault="00BC58DF">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C58DF" w14:paraId="3487C39C" w14:textId="77777777">
        <w:tc>
          <w:tcPr>
            <w:tcW w:w="10080" w:type="dxa"/>
            <w:tcBorders>
              <w:top w:val="single" w:sz="4" w:space="0" w:color="D1D5DB"/>
              <w:left w:val="single" w:sz="4" w:space="0" w:color="D1D5DB"/>
              <w:bottom w:val="single" w:sz="4" w:space="0" w:color="D1D5DB"/>
              <w:right w:val="single" w:sz="4" w:space="0" w:color="D1D5DB"/>
            </w:tcBorders>
            <w:shd w:val="clear" w:color="auto" w:fill="FFFFFF"/>
            <w:tcMar>
              <w:top w:w="240" w:type="dxa"/>
              <w:left w:w="240" w:type="dxa"/>
              <w:bottom w:w="240" w:type="dxa"/>
              <w:right w:w="240" w:type="dxa"/>
            </w:tcMar>
          </w:tcPr>
          <w:p w14:paraId="3D84ADFA" w14:textId="77777777" w:rsidR="00BC58DF" w:rsidRDefault="00000000">
            <w:pPr>
              <w:spacing w:after="60"/>
            </w:pPr>
            <w:r>
              <w:rPr>
                <w:b/>
                <w:bCs/>
                <w:color w:val="0EA5A4"/>
                <w:spacing w:val="40"/>
                <w:sz w:val="16"/>
                <w:szCs w:val="16"/>
              </w:rPr>
              <w:t>PILLAR 6</w:t>
            </w:r>
          </w:p>
          <w:p w14:paraId="26132B03" w14:textId="77777777" w:rsidR="00BC58DF" w:rsidRDefault="00000000">
            <w:pPr>
              <w:spacing w:after="100" w:line="300" w:lineRule="auto"/>
            </w:pPr>
            <w:r>
              <w:rPr>
                <w:b/>
                <w:bCs/>
                <w:color w:val="0B2447"/>
                <w:sz w:val="28"/>
                <w:szCs w:val="28"/>
              </w:rPr>
              <w:t>Zero-Trust Governance — built for the regulated enterprise.</w:t>
            </w:r>
          </w:p>
          <w:p w14:paraId="4865C7BD" w14:textId="77777777" w:rsidR="00BC58DF" w:rsidRDefault="00000000">
            <w:pPr>
              <w:spacing w:after="140" w:line="300" w:lineRule="auto"/>
            </w:pPr>
            <w:r>
              <w:rPr>
                <w:sz w:val="21"/>
                <w:szCs w:val="21"/>
              </w:rPr>
              <w:t>Governance is not a tab in NXπ. It is the foundation everything else stands on. Multi-dimensional RBAC, label-based access groups, per-user model and MCP allowlists, comprehensive audit trail with integrity checksums, and a compliance dashboard that tracks your EU AI Act readiness in real time.</w:t>
            </w:r>
          </w:p>
          <w:p w14:paraId="03AC799A" w14:textId="77777777" w:rsidR="00BC58DF" w:rsidRDefault="00000000">
            <w:pPr>
              <w:spacing w:after="60" w:line="280" w:lineRule="auto"/>
              <w:ind w:left="200" w:hanging="200"/>
            </w:pPr>
            <w:r>
              <w:rPr>
                <w:b/>
                <w:bCs/>
                <w:color w:val="2E75B6"/>
                <w:sz w:val="20"/>
                <w:szCs w:val="20"/>
              </w:rPr>
              <w:t xml:space="preserve">▸  </w:t>
            </w:r>
            <w:r>
              <w:rPr>
                <w:sz w:val="20"/>
                <w:szCs w:val="20"/>
              </w:rPr>
              <w:t>Better Auth 1.4 with OAuth (GitHub, Google, Microsoft) and optional SSO.</w:t>
            </w:r>
          </w:p>
          <w:p w14:paraId="0AC1B78E" w14:textId="77777777" w:rsidR="00BC58DF" w:rsidRDefault="00000000">
            <w:pPr>
              <w:spacing w:after="60" w:line="280" w:lineRule="auto"/>
              <w:ind w:left="200" w:hanging="200"/>
            </w:pPr>
            <w:r>
              <w:rPr>
                <w:b/>
                <w:bCs/>
                <w:color w:val="2E75B6"/>
                <w:sz w:val="20"/>
                <w:szCs w:val="20"/>
              </w:rPr>
              <w:t xml:space="preserve">▸  </w:t>
            </w:r>
            <w:r>
              <w:rPr>
                <w:sz w:val="20"/>
                <w:szCs w:val="20"/>
              </w:rPr>
              <w:t>Six dimensions of access control — models, MCP servers, tools, label groups, agent visibility, data scoping.</w:t>
            </w:r>
          </w:p>
          <w:p w14:paraId="44AB7550" w14:textId="77777777" w:rsidR="00BC58DF" w:rsidRDefault="00000000">
            <w:pPr>
              <w:spacing w:after="60" w:line="280" w:lineRule="auto"/>
              <w:ind w:left="200" w:hanging="200"/>
            </w:pPr>
            <w:r>
              <w:rPr>
                <w:b/>
                <w:bCs/>
                <w:color w:val="2E75B6"/>
                <w:sz w:val="20"/>
                <w:szCs w:val="20"/>
              </w:rPr>
              <w:t xml:space="preserve">▸  </w:t>
            </w:r>
            <w:r>
              <w:rPr>
                <w:sz w:val="20"/>
                <w:szCs w:val="20"/>
              </w:rPr>
              <w:t>Append-only audit log with timestamp, user, IP, action, outcome, tokens, and tool calls.</w:t>
            </w:r>
          </w:p>
          <w:p w14:paraId="00C056C8" w14:textId="77777777" w:rsidR="00BC58DF" w:rsidRDefault="00000000">
            <w:pPr>
              <w:spacing w:after="60" w:line="280" w:lineRule="auto"/>
              <w:ind w:left="200" w:hanging="200"/>
            </w:pPr>
            <w:r>
              <w:rPr>
                <w:b/>
                <w:bCs/>
                <w:color w:val="2E75B6"/>
                <w:sz w:val="20"/>
                <w:szCs w:val="20"/>
              </w:rPr>
              <w:t xml:space="preserve">▸  </w:t>
            </w:r>
            <w:r>
              <w:rPr>
                <w:sz w:val="20"/>
                <w:szCs w:val="20"/>
              </w:rPr>
              <w:t>PII detection and masking before LLM context injection; context compaction for sensitive data.</w:t>
            </w:r>
          </w:p>
          <w:p w14:paraId="6DCDEC87" w14:textId="77777777" w:rsidR="00BC58DF" w:rsidRDefault="00000000">
            <w:pPr>
              <w:spacing w:after="60" w:line="280" w:lineRule="auto"/>
              <w:ind w:left="200" w:hanging="200"/>
            </w:pPr>
            <w:r>
              <w:rPr>
                <w:b/>
                <w:bCs/>
                <w:color w:val="2E75B6"/>
                <w:sz w:val="20"/>
                <w:szCs w:val="20"/>
              </w:rPr>
              <w:t xml:space="preserve">▸  </w:t>
            </w:r>
            <w:r>
              <w:rPr>
                <w:sz w:val="20"/>
                <w:szCs w:val="20"/>
              </w:rPr>
              <w:t xml:space="preserve">TLS 1.3 in transit; PostgreSQL encryption at rest; </w:t>
            </w:r>
            <w:proofErr w:type="spellStart"/>
            <w:r>
              <w:rPr>
                <w:sz w:val="20"/>
                <w:szCs w:val="20"/>
              </w:rPr>
              <w:t>Vercel</w:t>
            </w:r>
            <w:proofErr w:type="spellEnd"/>
            <w:r>
              <w:rPr>
                <w:sz w:val="20"/>
                <w:szCs w:val="20"/>
              </w:rPr>
              <w:t xml:space="preserve"> Blob / S3 SSE / encrypted local storage.</w:t>
            </w:r>
          </w:p>
          <w:p w14:paraId="0FF7E7E4" w14:textId="77777777" w:rsidR="00BC58DF" w:rsidRDefault="00000000">
            <w:pPr>
              <w:spacing w:after="60" w:line="280" w:lineRule="auto"/>
              <w:ind w:left="200" w:hanging="200"/>
            </w:pPr>
            <w:r>
              <w:rPr>
                <w:b/>
                <w:bCs/>
                <w:color w:val="2E75B6"/>
                <w:sz w:val="20"/>
                <w:szCs w:val="20"/>
              </w:rPr>
              <w:t xml:space="preserve">▸  </w:t>
            </w:r>
            <w:r>
              <w:rPr>
                <w:sz w:val="20"/>
                <w:szCs w:val="20"/>
              </w:rPr>
              <w:t>EU AI Act, SOC 2 (with 2026 AI criteria), GDPR, HIPAA, and SOX-ready architecture.</w:t>
            </w:r>
          </w:p>
        </w:tc>
      </w:tr>
    </w:tbl>
    <w:p w14:paraId="576810D6" w14:textId="77777777" w:rsidR="00BC58DF" w:rsidRDefault="00000000">
      <w:r>
        <w:br w:type="page"/>
      </w:r>
    </w:p>
    <w:p w14:paraId="4E5AC16D" w14:textId="77777777" w:rsidR="00BC58DF" w:rsidRDefault="00000000">
      <w:pPr>
        <w:spacing w:before="240" w:after="80"/>
      </w:pPr>
      <w:r>
        <w:rPr>
          <w:b/>
          <w:bCs/>
          <w:color w:val="0EA5A4"/>
          <w:spacing w:val="40"/>
          <w:sz w:val="18"/>
          <w:szCs w:val="18"/>
        </w:rPr>
        <w:lastRenderedPageBreak/>
        <w:t>ARCHITECTURE</w:t>
      </w:r>
    </w:p>
    <w:p w14:paraId="0ABB4AB8" w14:textId="77777777" w:rsidR="00BC58DF" w:rsidRDefault="00000000">
      <w:pPr>
        <w:pStyle w:val="Heading1"/>
        <w:pBdr>
          <w:bottom w:val="single" w:sz="12" w:space="6" w:color="2E75B6"/>
        </w:pBdr>
        <w:spacing w:line="320" w:lineRule="auto"/>
      </w:pPr>
      <w:r>
        <w:t>4. Architecture &amp; Deployment</w:t>
      </w:r>
    </w:p>
    <w:p w14:paraId="4E2E1955" w14:textId="77777777" w:rsidR="00BC58DF" w:rsidRDefault="00000000">
      <w:pPr>
        <w:spacing w:after="160" w:line="340" w:lineRule="auto"/>
      </w:pPr>
      <w:r>
        <w:t>NXπ is a four-layer architecture engineered for enterprise scale, regulatory scrutiny, and the developer ergonomics of a modern web platform.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00"/>
        <w:gridCol w:w="4480"/>
      </w:tblGrid>
      <w:tr w:rsidR="00BC58DF" w14:paraId="3BD3F5D8" w14:textId="77777777">
        <w:trPr>
          <w:tblHeader/>
        </w:trPr>
        <w:tc>
          <w:tcPr>
            <w:tcW w:w="1900" w:type="dxa"/>
            <w:tcBorders>
              <w:top w:val="single" w:sz="4" w:space="0" w:color="D1D5DB"/>
              <w:left w:val="single" w:sz="4" w:space="0" w:color="D1D5DB"/>
              <w:bottom w:val="single" w:sz="4" w:space="0" w:color="D1D5DB"/>
              <w:right w:val="single" w:sz="4" w:space="0" w:color="D1D5DB"/>
            </w:tcBorders>
            <w:shd w:val="clear" w:color="auto" w:fill="0B2447"/>
            <w:tcMar>
              <w:top w:w="120" w:type="dxa"/>
              <w:left w:w="160" w:type="dxa"/>
              <w:bottom w:w="120" w:type="dxa"/>
              <w:right w:w="160" w:type="dxa"/>
            </w:tcMar>
          </w:tcPr>
          <w:p w14:paraId="598EBD53" w14:textId="77777777" w:rsidR="00BC58DF" w:rsidRDefault="00000000">
            <w:r>
              <w:rPr>
                <w:b/>
                <w:bCs/>
                <w:color w:val="FFFFFF"/>
              </w:rPr>
              <w:t>Layer</w:t>
            </w:r>
          </w:p>
        </w:tc>
        <w:tc>
          <w:tcPr>
            <w:tcW w:w="3700" w:type="dxa"/>
            <w:tcBorders>
              <w:top w:val="single" w:sz="4" w:space="0" w:color="D1D5DB"/>
              <w:left w:val="single" w:sz="4" w:space="0" w:color="D1D5DB"/>
              <w:bottom w:val="single" w:sz="4" w:space="0" w:color="D1D5DB"/>
              <w:right w:val="single" w:sz="4" w:space="0" w:color="D1D5DB"/>
            </w:tcBorders>
            <w:shd w:val="clear" w:color="auto" w:fill="0B2447"/>
            <w:tcMar>
              <w:top w:w="120" w:type="dxa"/>
              <w:left w:w="160" w:type="dxa"/>
              <w:bottom w:w="120" w:type="dxa"/>
              <w:right w:w="160" w:type="dxa"/>
            </w:tcMar>
          </w:tcPr>
          <w:p w14:paraId="54020520" w14:textId="77777777" w:rsidR="00BC58DF" w:rsidRDefault="00000000">
            <w:r>
              <w:rPr>
                <w:b/>
                <w:bCs/>
                <w:color w:val="FFFFFF"/>
              </w:rPr>
              <w:t>Technologies</w:t>
            </w:r>
          </w:p>
        </w:tc>
        <w:tc>
          <w:tcPr>
            <w:tcW w:w="4480" w:type="dxa"/>
            <w:tcBorders>
              <w:top w:val="single" w:sz="4" w:space="0" w:color="D1D5DB"/>
              <w:left w:val="single" w:sz="4" w:space="0" w:color="D1D5DB"/>
              <w:bottom w:val="single" w:sz="4" w:space="0" w:color="D1D5DB"/>
              <w:right w:val="single" w:sz="4" w:space="0" w:color="D1D5DB"/>
            </w:tcBorders>
            <w:shd w:val="clear" w:color="auto" w:fill="0B2447"/>
            <w:tcMar>
              <w:top w:w="120" w:type="dxa"/>
              <w:left w:w="160" w:type="dxa"/>
              <w:bottom w:w="120" w:type="dxa"/>
              <w:right w:w="160" w:type="dxa"/>
            </w:tcMar>
          </w:tcPr>
          <w:p w14:paraId="6C8B6CA5" w14:textId="77777777" w:rsidR="00BC58DF" w:rsidRDefault="00000000">
            <w:r>
              <w:rPr>
                <w:b/>
                <w:bCs/>
                <w:color w:val="FFFFFF"/>
              </w:rPr>
              <w:t>Responsibilities</w:t>
            </w:r>
          </w:p>
        </w:tc>
      </w:tr>
      <w:tr w:rsidR="00BC58DF" w14:paraId="785218B4" w14:textId="77777777">
        <w:tc>
          <w:tcPr>
            <w:tcW w:w="190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14:paraId="4D8B3BB4" w14:textId="77777777" w:rsidR="00BC58DF" w:rsidRDefault="00000000">
            <w:pPr>
              <w:spacing w:line="280" w:lineRule="auto"/>
            </w:pPr>
            <w:r>
              <w:rPr>
                <w:b/>
                <w:bCs/>
                <w:color w:val="0B2447"/>
                <w:sz w:val="20"/>
                <w:szCs w:val="20"/>
              </w:rPr>
              <w:t>Client Layer</w:t>
            </w:r>
          </w:p>
        </w:tc>
        <w:tc>
          <w:tcPr>
            <w:tcW w:w="370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717E593B" w14:textId="77777777" w:rsidR="00BC58DF" w:rsidRDefault="00000000">
            <w:pPr>
              <w:spacing w:line="280" w:lineRule="auto"/>
            </w:pPr>
            <w:r>
              <w:rPr>
                <w:sz w:val="20"/>
                <w:szCs w:val="20"/>
              </w:rPr>
              <w:t xml:space="preserve">Next.js 16, React 19, </w:t>
            </w:r>
            <w:proofErr w:type="spellStart"/>
            <w:r>
              <w:rPr>
                <w:sz w:val="20"/>
                <w:szCs w:val="20"/>
              </w:rPr>
              <w:t>Zustand</w:t>
            </w:r>
            <w:proofErr w:type="spellEnd"/>
            <w:r>
              <w:rPr>
                <w:sz w:val="20"/>
                <w:szCs w:val="20"/>
              </w:rPr>
              <w:t xml:space="preserve"> 5, SWR, </w:t>
            </w:r>
            <w:proofErr w:type="spellStart"/>
            <w:r>
              <w:rPr>
                <w:sz w:val="20"/>
                <w:szCs w:val="20"/>
              </w:rPr>
              <w:t>XYFlow</w:t>
            </w:r>
            <w:proofErr w:type="spellEnd"/>
            <w:r>
              <w:rPr>
                <w:sz w:val="20"/>
                <w:szCs w:val="20"/>
              </w:rPr>
              <w:t xml:space="preserve"> 12, </w:t>
            </w:r>
            <w:proofErr w:type="spellStart"/>
            <w:r>
              <w:rPr>
                <w:sz w:val="20"/>
                <w:szCs w:val="20"/>
              </w:rPr>
              <w:t>shadcn</w:t>
            </w:r>
            <w:proofErr w:type="spellEnd"/>
            <w:r>
              <w:rPr>
                <w:sz w:val="20"/>
                <w:szCs w:val="20"/>
              </w:rPr>
              <w:t>/</w:t>
            </w:r>
            <w:proofErr w:type="spellStart"/>
            <w:r>
              <w:rPr>
                <w:sz w:val="20"/>
                <w:szCs w:val="20"/>
              </w:rPr>
              <w:t>ui</w:t>
            </w:r>
            <w:proofErr w:type="spellEnd"/>
            <w:r>
              <w:rPr>
                <w:sz w:val="20"/>
                <w:szCs w:val="20"/>
              </w:rPr>
              <w:t>, Tailwind CSS 4, Framer Motion 12, next-</w:t>
            </w:r>
            <w:proofErr w:type="spellStart"/>
            <w:r>
              <w:rPr>
                <w:sz w:val="20"/>
                <w:szCs w:val="20"/>
              </w:rPr>
              <w:t>intl</w:t>
            </w:r>
            <w:proofErr w:type="spellEnd"/>
          </w:p>
        </w:tc>
        <w:tc>
          <w:tcPr>
            <w:tcW w:w="448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17321B68" w14:textId="77777777" w:rsidR="00BC58DF" w:rsidRDefault="00000000">
            <w:pPr>
              <w:spacing w:line="280" w:lineRule="auto"/>
            </w:pPr>
            <w:r>
              <w:rPr>
                <w:sz w:val="20"/>
                <w:szCs w:val="20"/>
              </w:rPr>
              <w:t>UI rendering, visual workflow canvas, state, internationalization</w:t>
            </w:r>
          </w:p>
        </w:tc>
      </w:tr>
      <w:tr w:rsidR="00BC58DF" w14:paraId="6421C242" w14:textId="77777777">
        <w:tc>
          <w:tcPr>
            <w:tcW w:w="190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14:paraId="008AACE0" w14:textId="77777777" w:rsidR="00BC58DF" w:rsidRDefault="00000000">
            <w:pPr>
              <w:spacing w:line="280" w:lineRule="auto"/>
            </w:pPr>
            <w:r>
              <w:rPr>
                <w:b/>
                <w:bCs/>
                <w:color w:val="0B2447"/>
                <w:sz w:val="20"/>
                <w:szCs w:val="20"/>
              </w:rPr>
              <w:t>API Layer</w:t>
            </w:r>
          </w:p>
        </w:tc>
        <w:tc>
          <w:tcPr>
            <w:tcW w:w="370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6316CE09" w14:textId="77777777" w:rsidR="00BC58DF" w:rsidRDefault="00000000">
            <w:pPr>
              <w:spacing w:line="280" w:lineRule="auto"/>
            </w:pPr>
            <w:r>
              <w:rPr>
                <w:sz w:val="20"/>
                <w:szCs w:val="20"/>
              </w:rPr>
              <w:t>Next.js API Routes (114+ endpoints), Better Auth 1.4, Zod 4 validation</w:t>
            </w:r>
          </w:p>
        </w:tc>
        <w:tc>
          <w:tcPr>
            <w:tcW w:w="448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7CEB261B" w14:textId="77777777" w:rsidR="00BC58DF" w:rsidRDefault="00000000">
            <w:pPr>
              <w:spacing w:line="280" w:lineRule="auto"/>
            </w:pPr>
            <w:r>
              <w:rPr>
                <w:sz w:val="20"/>
                <w:szCs w:val="20"/>
              </w:rPr>
              <w:t>Authentication, RBAC enforcement, rate limiting, audit logging</w:t>
            </w:r>
          </w:p>
        </w:tc>
      </w:tr>
      <w:tr w:rsidR="00BC58DF" w14:paraId="5363D02D" w14:textId="77777777">
        <w:tc>
          <w:tcPr>
            <w:tcW w:w="190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14:paraId="7E263FC1" w14:textId="77777777" w:rsidR="00BC58DF" w:rsidRDefault="00000000">
            <w:pPr>
              <w:spacing w:line="280" w:lineRule="auto"/>
            </w:pPr>
            <w:r>
              <w:rPr>
                <w:b/>
                <w:bCs/>
                <w:color w:val="0B2447"/>
                <w:sz w:val="20"/>
                <w:szCs w:val="20"/>
              </w:rPr>
              <w:t>AI Core</w:t>
            </w:r>
          </w:p>
        </w:tc>
        <w:tc>
          <w:tcPr>
            <w:tcW w:w="370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1C68D0E4" w14:textId="77777777" w:rsidR="00BC58DF" w:rsidRDefault="00000000">
            <w:pPr>
              <w:spacing w:line="280" w:lineRule="auto"/>
            </w:pPr>
            <w:proofErr w:type="spellStart"/>
            <w:r>
              <w:rPr>
                <w:sz w:val="20"/>
                <w:szCs w:val="20"/>
              </w:rPr>
              <w:t>Vercel</w:t>
            </w:r>
            <w:proofErr w:type="spellEnd"/>
            <w:r>
              <w:rPr>
                <w:sz w:val="20"/>
                <w:szCs w:val="20"/>
              </w:rPr>
              <w:t xml:space="preserve"> AI SDK 6.0, MCP SDK 1.22, </w:t>
            </w:r>
            <w:proofErr w:type="spellStart"/>
            <w:r>
              <w:rPr>
                <w:sz w:val="20"/>
                <w:szCs w:val="20"/>
              </w:rPr>
              <w:t>LangChain</w:t>
            </w:r>
            <w:proofErr w:type="spellEnd"/>
          </w:p>
        </w:tc>
        <w:tc>
          <w:tcPr>
            <w:tcW w:w="448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7C228561" w14:textId="77777777" w:rsidR="00BC58DF" w:rsidRDefault="00000000">
            <w:pPr>
              <w:spacing w:line="280" w:lineRule="auto"/>
            </w:pPr>
            <w:r>
              <w:rPr>
                <w:sz w:val="20"/>
                <w:szCs w:val="20"/>
              </w:rPr>
              <w:t>LLM streaming, tool calling, embeddings, MCP host, RAG pipeline, agent orchestration</w:t>
            </w:r>
          </w:p>
        </w:tc>
      </w:tr>
      <w:tr w:rsidR="00BC58DF" w14:paraId="7449DA65" w14:textId="77777777">
        <w:tc>
          <w:tcPr>
            <w:tcW w:w="190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14:paraId="37362471" w14:textId="77777777" w:rsidR="00BC58DF" w:rsidRDefault="00000000">
            <w:pPr>
              <w:spacing w:line="280" w:lineRule="auto"/>
            </w:pPr>
            <w:r>
              <w:rPr>
                <w:b/>
                <w:bCs/>
                <w:color w:val="0B2447"/>
                <w:sz w:val="20"/>
                <w:szCs w:val="20"/>
              </w:rPr>
              <w:t>Data &amp; Storage</w:t>
            </w:r>
          </w:p>
        </w:tc>
        <w:tc>
          <w:tcPr>
            <w:tcW w:w="370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3320D194" w14:textId="77777777" w:rsidR="00BC58DF" w:rsidRDefault="00000000">
            <w:pPr>
              <w:spacing w:line="280" w:lineRule="auto"/>
            </w:pPr>
            <w:r>
              <w:rPr>
                <w:sz w:val="20"/>
                <w:szCs w:val="20"/>
              </w:rPr>
              <w:t xml:space="preserve">PostgreSQL + </w:t>
            </w:r>
            <w:proofErr w:type="spellStart"/>
            <w:r>
              <w:rPr>
                <w:sz w:val="20"/>
                <w:szCs w:val="20"/>
              </w:rPr>
              <w:t>pgvector</w:t>
            </w:r>
            <w:proofErr w:type="spellEnd"/>
            <w:r>
              <w:rPr>
                <w:sz w:val="20"/>
                <w:szCs w:val="20"/>
              </w:rPr>
              <w:t xml:space="preserve">, Drizzle ORM 0.41, Redis/Memory, </w:t>
            </w:r>
            <w:proofErr w:type="spellStart"/>
            <w:r>
              <w:rPr>
                <w:sz w:val="20"/>
                <w:szCs w:val="20"/>
              </w:rPr>
              <w:t>Vercel</w:t>
            </w:r>
            <w:proofErr w:type="spellEnd"/>
            <w:r>
              <w:rPr>
                <w:sz w:val="20"/>
                <w:szCs w:val="20"/>
              </w:rPr>
              <w:t xml:space="preserve"> Blob/S3/Local</w:t>
            </w:r>
          </w:p>
        </w:tc>
        <w:tc>
          <w:tcPr>
            <w:tcW w:w="448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0D14DC08" w14:textId="77777777" w:rsidR="00BC58DF" w:rsidRDefault="00000000">
            <w:pPr>
              <w:spacing w:line="280" w:lineRule="auto"/>
            </w:pPr>
            <w:r>
              <w:rPr>
                <w:sz w:val="20"/>
                <w:szCs w:val="20"/>
              </w:rPr>
              <w:t>Persistence, vector search, full-text search, caching, file storage</w:t>
            </w:r>
          </w:p>
        </w:tc>
      </w:tr>
    </w:tbl>
    <w:p w14:paraId="504C5D6F" w14:textId="77777777" w:rsidR="00BC58DF" w:rsidRDefault="00BC58DF">
      <w:pPr>
        <w:spacing w:after="240"/>
      </w:pPr>
    </w:p>
    <w:p w14:paraId="1CA95833" w14:textId="77777777" w:rsidR="00BC58DF" w:rsidRDefault="00000000">
      <w:pPr>
        <w:pStyle w:val="Heading2"/>
        <w:spacing w:line="320" w:lineRule="auto"/>
      </w:pPr>
      <w:r>
        <w:t>Deployment Options</w:t>
      </w:r>
    </w:p>
    <w:p w14:paraId="27A94D15" w14:textId="77777777" w:rsidR="00BC58DF" w:rsidRDefault="00000000">
      <w:pPr>
        <w:spacing w:after="140" w:line="320" w:lineRule="auto"/>
      </w:pPr>
      <w:r>
        <w:t>Three deployment models, the same NXπ. Choose by data sovereignty and IT operating model.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3880"/>
      </w:tblGrid>
      <w:tr w:rsidR="00BC58DF" w14:paraId="36DE3720" w14:textId="77777777">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0B2447"/>
            <w:tcMar>
              <w:top w:w="120" w:type="dxa"/>
              <w:left w:w="160" w:type="dxa"/>
              <w:bottom w:w="120" w:type="dxa"/>
              <w:right w:w="160" w:type="dxa"/>
            </w:tcMar>
          </w:tcPr>
          <w:p w14:paraId="24FEED15" w14:textId="77777777" w:rsidR="00BC58DF" w:rsidRDefault="00000000">
            <w:r>
              <w:rPr>
                <w:b/>
                <w:bCs/>
                <w:color w:val="FFFFFF"/>
              </w:rPr>
              <w:t>Model</w:t>
            </w:r>
          </w:p>
        </w:tc>
        <w:tc>
          <w:tcPr>
            <w:tcW w:w="3800" w:type="dxa"/>
            <w:tcBorders>
              <w:top w:val="single" w:sz="4" w:space="0" w:color="D1D5DB"/>
              <w:left w:val="single" w:sz="4" w:space="0" w:color="D1D5DB"/>
              <w:bottom w:val="single" w:sz="4" w:space="0" w:color="D1D5DB"/>
              <w:right w:val="single" w:sz="4" w:space="0" w:color="D1D5DB"/>
            </w:tcBorders>
            <w:shd w:val="clear" w:color="auto" w:fill="0B2447"/>
            <w:tcMar>
              <w:top w:w="120" w:type="dxa"/>
              <w:left w:w="160" w:type="dxa"/>
              <w:bottom w:w="120" w:type="dxa"/>
              <w:right w:w="160" w:type="dxa"/>
            </w:tcMar>
          </w:tcPr>
          <w:p w14:paraId="62D9F8EC" w14:textId="77777777" w:rsidR="00BC58DF" w:rsidRDefault="00000000">
            <w:r>
              <w:rPr>
                <w:b/>
                <w:bCs/>
                <w:color w:val="FFFFFF"/>
              </w:rPr>
              <w:t>Infrastructure</w:t>
            </w:r>
          </w:p>
        </w:tc>
        <w:tc>
          <w:tcPr>
            <w:tcW w:w="3880" w:type="dxa"/>
            <w:tcBorders>
              <w:top w:val="single" w:sz="4" w:space="0" w:color="D1D5DB"/>
              <w:left w:val="single" w:sz="4" w:space="0" w:color="D1D5DB"/>
              <w:bottom w:val="single" w:sz="4" w:space="0" w:color="D1D5DB"/>
              <w:right w:val="single" w:sz="4" w:space="0" w:color="D1D5DB"/>
            </w:tcBorders>
            <w:shd w:val="clear" w:color="auto" w:fill="0B2447"/>
            <w:tcMar>
              <w:top w:w="120" w:type="dxa"/>
              <w:left w:w="160" w:type="dxa"/>
              <w:bottom w:w="120" w:type="dxa"/>
              <w:right w:w="160" w:type="dxa"/>
            </w:tcMar>
          </w:tcPr>
          <w:p w14:paraId="5F2F5BB6" w14:textId="77777777" w:rsidR="00BC58DF" w:rsidRDefault="00000000">
            <w:r>
              <w:rPr>
                <w:b/>
                <w:bCs/>
                <w:color w:val="FFFFFF"/>
              </w:rPr>
              <w:t>Best for</w:t>
            </w:r>
          </w:p>
        </w:tc>
      </w:tr>
      <w:tr w:rsidR="00BC58DF" w14:paraId="7438EAEF" w14:textId="77777777">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14:paraId="05F59095" w14:textId="77777777" w:rsidR="00BC58DF" w:rsidRDefault="00000000">
            <w:pPr>
              <w:spacing w:line="280" w:lineRule="auto"/>
            </w:pPr>
            <w:r>
              <w:rPr>
                <w:b/>
                <w:bCs/>
                <w:color w:val="0B2447"/>
                <w:sz w:val="20"/>
                <w:szCs w:val="20"/>
              </w:rPr>
              <w:t>Self-Hosted (On-Premises)</w:t>
            </w:r>
          </w:p>
        </w:tc>
        <w:tc>
          <w:tcPr>
            <w:tcW w:w="380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38B86252" w14:textId="77777777" w:rsidR="00BC58DF" w:rsidRDefault="00000000">
            <w:pPr>
              <w:spacing w:line="280" w:lineRule="auto"/>
            </w:pPr>
            <w:r>
              <w:rPr>
                <w:sz w:val="20"/>
                <w:szCs w:val="20"/>
              </w:rPr>
              <w:t xml:space="preserve">Customer data </w:t>
            </w:r>
            <w:proofErr w:type="spellStart"/>
            <w:r>
              <w:rPr>
                <w:sz w:val="20"/>
                <w:szCs w:val="20"/>
              </w:rPr>
              <w:t>center</w:t>
            </w:r>
            <w:proofErr w:type="spellEnd"/>
            <w:r>
              <w:rPr>
                <w:sz w:val="20"/>
                <w:szCs w:val="20"/>
              </w:rPr>
              <w:t xml:space="preserve">; PostgreSQL + </w:t>
            </w:r>
            <w:proofErr w:type="spellStart"/>
            <w:r>
              <w:rPr>
                <w:sz w:val="20"/>
                <w:szCs w:val="20"/>
              </w:rPr>
              <w:t>pgvector</w:t>
            </w:r>
            <w:proofErr w:type="spellEnd"/>
            <w:r>
              <w:rPr>
                <w:sz w:val="20"/>
                <w:szCs w:val="20"/>
              </w:rPr>
              <w:t>; local file storage; Ollama for local inference</w:t>
            </w:r>
          </w:p>
        </w:tc>
        <w:tc>
          <w:tcPr>
            <w:tcW w:w="388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14A0B47D" w14:textId="77777777" w:rsidR="00BC58DF" w:rsidRDefault="00000000">
            <w:pPr>
              <w:spacing w:line="280" w:lineRule="auto"/>
            </w:pPr>
            <w:r>
              <w:rPr>
                <w:sz w:val="20"/>
                <w:szCs w:val="20"/>
              </w:rPr>
              <w:t xml:space="preserve">Full sovereignty — data never leaves the network perimeter. </w:t>
            </w:r>
            <w:proofErr w:type="spellStart"/>
            <w:r>
              <w:rPr>
                <w:sz w:val="20"/>
                <w:szCs w:val="20"/>
              </w:rPr>
              <w:t>Defense</w:t>
            </w:r>
            <w:proofErr w:type="spellEnd"/>
            <w:r>
              <w:rPr>
                <w:sz w:val="20"/>
                <w:szCs w:val="20"/>
              </w:rPr>
              <w:t>, government, regulated industries.</w:t>
            </w:r>
          </w:p>
        </w:tc>
      </w:tr>
      <w:tr w:rsidR="00BC58DF" w14:paraId="3366465D" w14:textId="77777777">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14:paraId="4699D69F" w14:textId="77777777" w:rsidR="00BC58DF" w:rsidRDefault="00000000">
            <w:pPr>
              <w:spacing w:line="280" w:lineRule="auto"/>
            </w:pPr>
            <w:r>
              <w:rPr>
                <w:b/>
                <w:bCs/>
                <w:color w:val="0B2447"/>
                <w:sz w:val="20"/>
                <w:szCs w:val="20"/>
              </w:rPr>
              <w:t>Private Cloud</w:t>
            </w:r>
          </w:p>
        </w:tc>
        <w:tc>
          <w:tcPr>
            <w:tcW w:w="380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16CB7F16" w14:textId="77777777" w:rsidR="00BC58DF" w:rsidRDefault="00000000">
            <w:pPr>
              <w:spacing w:line="280" w:lineRule="auto"/>
            </w:pPr>
            <w:r>
              <w:rPr>
                <w:sz w:val="20"/>
                <w:szCs w:val="20"/>
              </w:rPr>
              <w:t>Customer VPC on AWS, Azure, or GCP; managed PostgreSQL; S3 / Blob storage</w:t>
            </w:r>
          </w:p>
        </w:tc>
        <w:tc>
          <w:tcPr>
            <w:tcW w:w="388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17D722FF" w14:textId="77777777" w:rsidR="00BC58DF" w:rsidRDefault="00000000">
            <w:pPr>
              <w:spacing w:line="280" w:lineRule="auto"/>
            </w:pPr>
            <w:r>
              <w:rPr>
                <w:sz w:val="20"/>
                <w:szCs w:val="20"/>
              </w:rPr>
              <w:t>Cloud flexibility with tenancy control. Enterprise IT teams modernizing on cloud.</w:t>
            </w:r>
          </w:p>
        </w:tc>
      </w:tr>
      <w:tr w:rsidR="00BC58DF" w14:paraId="4D35B251" w14:textId="77777777">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14:paraId="75A61A53" w14:textId="77777777" w:rsidR="00BC58DF" w:rsidRDefault="00000000">
            <w:pPr>
              <w:spacing w:line="280" w:lineRule="auto"/>
            </w:pPr>
            <w:r>
              <w:rPr>
                <w:b/>
                <w:bCs/>
                <w:color w:val="0B2447"/>
                <w:sz w:val="20"/>
                <w:szCs w:val="20"/>
              </w:rPr>
              <w:t>Hybrid</w:t>
            </w:r>
          </w:p>
        </w:tc>
        <w:tc>
          <w:tcPr>
            <w:tcW w:w="380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004CD95E" w14:textId="77777777" w:rsidR="00BC58DF" w:rsidRDefault="00000000">
            <w:pPr>
              <w:spacing w:line="280" w:lineRule="auto"/>
            </w:pPr>
            <w:r>
              <w:rPr>
                <w:sz w:val="20"/>
                <w:szCs w:val="20"/>
              </w:rPr>
              <w:t>Self-hosted data layer; cloud LLM providers; MCP bridges to on-prem SAP and Salesforce</w:t>
            </w:r>
          </w:p>
        </w:tc>
        <w:tc>
          <w:tcPr>
            <w:tcW w:w="388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1F3B9E54" w14:textId="77777777" w:rsidR="00BC58DF" w:rsidRDefault="00000000">
            <w:pPr>
              <w:spacing w:line="280" w:lineRule="auto"/>
            </w:pPr>
            <w:r>
              <w:rPr>
                <w:sz w:val="20"/>
                <w:szCs w:val="20"/>
              </w:rPr>
              <w:t>Sensitive data on-prem; AI compute in cloud. The pragmatic enterprise default.</w:t>
            </w:r>
          </w:p>
        </w:tc>
      </w:tr>
    </w:tbl>
    <w:p w14:paraId="20069F53" w14:textId="77777777" w:rsidR="00BC58DF" w:rsidRDefault="00BC58DF">
      <w:pPr>
        <w:spacing w:after="280"/>
      </w:pPr>
    </w:p>
    <w:p w14:paraId="391AFB16" w14:textId="77777777" w:rsidR="00BC58DF" w:rsidRDefault="00000000">
      <w:pPr>
        <w:pStyle w:val="Heading2"/>
        <w:spacing w:line="320" w:lineRule="auto"/>
      </w:pPr>
      <w:r>
        <w:t>Trust &amp; Compliance Strip</w:t>
      </w:r>
    </w:p>
    <w:p w14:paraId="5B1F3CDA" w14:textId="77777777" w:rsidR="00BC58DF" w:rsidRDefault="00000000">
      <w:pPr>
        <w:spacing w:after="140" w:line="320" w:lineRule="auto"/>
      </w:pPr>
      <w:r>
        <w:rPr>
          <w:i/>
          <w:iCs/>
        </w:rPr>
        <w:t>Suggested footer / trust strip copy to run on every page.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C58DF" w14:paraId="603B0AE0" w14:textId="77777777">
        <w:tc>
          <w:tcPr>
            <w:tcW w:w="10080" w:type="dxa"/>
            <w:tcBorders>
              <w:top w:val="none" w:sz="0" w:space="0" w:color="FFFFFF"/>
              <w:left w:val="single" w:sz="24" w:space="0" w:color="0EA5A4"/>
              <w:bottom w:val="none" w:sz="0" w:space="0" w:color="FFFFFF"/>
              <w:right w:val="none" w:sz="0" w:space="0" w:color="FFFFFF"/>
            </w:tcBorders>
            <w:shd w:val="clear" w:color="auto" w:fill="E6F7F6"/>
            <w:tcMar>
              <w:top w:w="200" w:type="dxa"/>
              <w:left w:w="240" w:type="dxa"/>
              <w:bottom w:w="200" w:type="dxa"/>
              <w:right w:w="240" w:type="dxa"/>
            </w:tcMar>
          </w:tcPr>
          <w:p w14:paraId="586E6A6F" w14:textId="77777777" w:rsidR="00BC58DF" w:rsidRDefault="00000000">
            <w:pPr>
              <w:spacing w:after="100" w:line="320" w:lineRule="auto"/>
            </w:pPr>
            <w:r>
              <w:rPr>
                <w:b/>
                <w:bCs/>
                <w:color w:val="0B2447"/>
              </w:rPr>
              <w:lastRenderedPageBreak/>
              <w:t>Built for regulated enterprises.</w:t>
            </w:r>
          </w:p>
          <w:p w14:paraId="1EF60C1A" w14:textId="77777777" w:rsidR="00BC58DF" w:rsidRDefault="00000000">
            <w:pPr>
              <w:spacing w:line="300" w:lineRule="auto"/>
            </w:pPr>
            <w:r>
              <w:rPr>
                <w:sz w:val="21"/>
                <w:szCs w:val="21"/>
              </w:rPr>
              <w:t>EU AI Act (high-risk system controls) · SOC 2 with 2026 AI governance criteria · GDPR · HIPAA-ready · SOX-aligned. Append-only audit trail. Self-hosted and air-gapped deployment options. Per-user RBAC across models, MCP servers, tools, and data scopes.</w:t>
            </w:r>
          </w:p>
        </w:tc>
      </w:tr>
    </w:tbl>
    <w:p w14:paraId="541D0D83" w14:textId="77777777" w:rsidR="00BC58DF" w:rsidRDefault="00000000">
      <w:r>
        <w:br w:type="page"/>
      </w:r>
    </w:p>
    <w:p w14:paraId="799C4822" w14:textId="77777777" w:rsidR="00BC58DF" w:rsidRDefault="00000000">
      <w:pPr>
        <w:spacing w:before="240" w:after="80"/>
      </w:pPr>
      <w:r>
        <w:rPr>
          <w:b/>
          <w:bCs/>
          <w:color w:val="0EA5A4"/>
          <w:spacing w:val="40"/>
          <w:sz w:val="18"/>
          <w:szCs w:val="18"/>
        </w:rPr>
        <w:lastRenderedPageBreak/>
        <w:t>SOLUTIONS</w:t>
      </w:r>
    </w:p>
    <w:p w14:paraId="7B882F9E" w14:textId="77777777" w:rsidR="00BC58DF" w:rsidRDefault="00000000">
      <w:pPr>
        <w:pStyle w:val="Heading1"/>
        <w:pBdr>
          <w:bottom w:val="single" w:sz="12" w:space="6" w:color="2E75B6"/>
        </w:pBdr>
        <w:spacing w:line="320" w:lineRule="auto"/>
      </w:pPr>
      <w:r>
        <w:t>5. Solutions Overview</w:t>
      </w:r>
    </w:p>
    <w:p w14:paraId="3297B690" w14:textId="77777777" w:rsidR="00BC58DF" w:rsidRDefault="00000000">
      <w:pPr>
        <w:spacing w:after="180" w:line="340" w:lineRule="auto"/>
      </w:pPr>
      <w:r>
        <w:t>The Platform pages tell the buyer what NXπ is. The Solutions pages tell them why it matters to them this quarter. We recommend three Solutions tracks — by role, by enterprise system, and by industry — that share a common page architecture: a one-line value statement, three signature outcomes, three CXO-quoted use cases, and a single CTA.</w:t>
      </w:r>
    </w:p>
    <w:p w14:paraId="01437707" w14:textId="77777777" w:rsidR="00BC58DF" w:rsidRDefault="00000000">
      <w:pPr>
        <w:pStyle w:val="Heading2"/>
        <w:spacing w:line="320" w:lineRule="auto"/>
      </w:pPr>
      <w:r>
        <w:t>Solutions by Role</w:t>
      </w:r>
    </w:p>
    <w:p w14:paraId="1439EA50" w14:textId="77777777" w:rsidR="00BC58DF" w:rsidRDefault="00000000">
      <w:pPr>
        <w:spacing w:after="160" w:line="320" w:lineRule="auto"/>
      </w:pPr>
      <w:r>
        <w:rPr>
          <w:i/>
          <w:iCs/>
        </w:rPr>
        <w:t>Each CXO landing page leads with a single outcome they own, then proves it with use cases drawn from the PRD.</w:t>
      </w:r>
    </w:p>
    <w:p w14:paraId="0CDEBD55" w14:textId="77777777" w:rsidR="00BC58DF" w:rsidRDefault="00000000">
      <w:pPr>
        <w:pStyle w:val="Heading3"/>
        <w:spacing w:line="300" w:lineRule="auto"/>
      </w:pPr>
      <w:r>
        <w:t>CEO — Strategic AI Consolidation</w:t>
      </w:r>
    </w:p>
    <w:p w14:paraId="581222AF" w14:textId="77777777" w:rsidR="00BC58DF" w:rsidRDefault="00000000">
      <w:pPr>
        <w:spacing w:after="120" w:line="320" w:lineRule="auto"/>
      </w:pPr>
      <w:r>
        <w:rPr>
          <w:b/>
          <w:bCs/>
          <w:color w:val="0B2447"/>
          <w:sz w:val="24"/>
          <w:szCs w:val="24"/>
        </w:rPr>
        <w:t>Replace three to five point AI tools with one governed control plane.</w:t>
      </w:r>
    </w:p>
    <w:p w14:paraId="4AC969A1" w14:textId="77777777" w:rsidR="00BC58DF" w:rsidRDefault="00000000">
      <w:pPr>
        <w:spacing w:after="120" w:line="320" w:lineRule="auto"/>
      </w:pPr>
      <w:r>
        <w:t>NXπ collapses the fragmented AI stack into a single platform — and turns AI from a portfolio of experiments into a competitive operating system. Time-to-first-useful-agent measured in weeks, not quarters.</w:t>
      </w:r>
    </w:p>
    <w:p w14:paraId="2BE623C0" w14:textId="77777777" w:rsidR="00BC58DF" w:rsidRDefault="00000000">
      <w:pPr>
        <w:pStyle w:val="ListParagraph"/>
        <w:numPr>
          <w:ilvl w:val="0"/>
          <w:numId w:val="2"/>
        </w:numPr>
        <w:spacing w:after="80" w:line="300" w:lineRule="auto"/>
      </w:pPr>
      <w:r>
        <w:t>Revenue impact of 3–15% from better customer intelligence and forecasting.</w:t>
      </w:r>
    </w:p>
    <w:p w14:paraId="36F6438F" w14:textId="77777777" w:rsidR="00BC58DF" w:rsidRDefault="00000000">
      <w:pPr>
        <w:pStyle w:val="ListParagraph"/>
        <w:numPr>
          <w:ilvl w:val="0"/>
          <w:numId w:val="2"/>
        </w:numPr>
        <w:spacing w:after="80" w:line="300" w:lineRule="auto"/>
      </w:pPr>
      <w:r>
        <w:t>Time-to-value under 30 minutes for the first production agent.</w:t>
      </w:r>
    </w:p>
    <w:p w14:paraId="208A9161" w14:textId="77777777" w:rsidR="00BC58DF" w:rsidRDefault="00000000">
      <w:pPr>
        <w:pStyle w:val="ListParagraph"/>
        <w:numPr>
          <w:ilvl w:val="0"/>
          <w:numId w:val="2"/>
        </w:numPr>
        <w:spacing w:after="80" w:line="300" w:lineRule="auto"/>
      </w:pPr>
      <w:r>
        <w:t>Executive briefing automation across 5+ data sources before 7 AM every day.</w:t>
      </w:r>
    </w:p>
    <w:p w14:paraId="7EF7F433" w14:textId="77777777" w:rsidR="00BC58DF" w:rsidRDefault="00BC58DF">
      <w:pPr>
        <w:spacing w:after="120"/>
      </w:pPr>
    </w:p>
    <w:p w14:paraId="0960510D" w14:textId="77777777" w:rsidR="00BC58DF" w:rsidRDefault="00000000">
      <w:pPr>
        <w:pStyle w:val="Heading3"/>
        <w:spacing w:line="300" w:lineRule="auto"/>
      </w:pPr>
      <w:r>
        <w:t>CTO / CIO — End the Tool Sprawl</w:t>
      </w:r>
    </w:p>
    <w:p w14:paraId="4F121140" w14:textId="77777777" w:rsidR="00BC58DF" w:rsidRDefault="00000000">
      <w:pPr>
        <w:spacing w:after="120" w:line="320" w:lineRule="auto"/>
      </w:pPr>
      <w:r>
        <w:rPr>
          <w:b/>
          <w:bCs/>
          <w:color w:val="0B2447"/>
          <w:sz w:val="24"/>
          <w:szCs w:val="24"/>
        </w:rPr>
        <w:t>One platform. Ten LLM providers. Forty models. 114+ API endpoints.</w:t>
      </w:r>
    </w:p>
    <w:p w14:paraId="032CA091" w14:textId="77777777" w:rsidR="00BC58DF" w:rsidRDefault="00000000">
      <w:pPr>
        <w:spacing w:after="120" w:line="320" w:lineRule="auto"/>
      </w:pPr>
      <w:r>
        <w:t>NXπ is model-agnostic by design. Hot-swap LLM providers mid-session, route sensitive workloads to local Ollama, and keep every agent portable through open MCP — no rewrites when your model strategy evolves.</w:t>
      </w:r>
    </w:p>
    <w:p w14:paraId="621885C2" w14:textId="77777777" w:rsidR="00BC58DF" w:rsidRDefault="00000000">
      <w:pPr>
        <w:pStyle w:val="ListParagraph"/>
        <w:numPr>
          <w:ilvl w:val="0"/>
          <w:numId w:val="2"/>
        </w:numPr>
        <w:spacing w:after="80" w:line="300" w:lineRule="auto"/>
      </w:pPr>
      <w:r>
        <w:t>Tool consolidation savings of $200K–$500K in annual license cost.</w:t>
      </w:r>
    </w:p>
    <w:p w14:paraId="61D04E53" w14:textId="77777777" w:rsidR="00BC58DF" w:rsidRDefault="00000000">
      <w:pPr>
        <w:pStyle w:val="ListParagraph"/>
        <w:numPr>
          <w:ilvl w:val="0"/>
          <w:numId w:val="2"/>
        </w:numPr>
        <w:spacing w:after="80" w:line="300" w:lineRule="auto"/>
      </w:pPr>
      <w:r>
        <w:t>99.9% platform uptime with automatic LLM provider failover.</w:t>
      </w:r>
    </w:p>
    <w:p w14:paraId="0F59B7BF" w14:textId="77777777" w:rsidR="00BC58DF" w:rsidRDefault="00000000">
      <w:pPr>
        <w:pStyle w:val="ListParagraph"/>
        <w:numPr>
          <w:ilvl w:val="0"/>
          <w:numId w:val="2"/>
        </w:numPr>
        <w:spacing w:after="80" w:line="300" w:lineRule="auto"/>
      </w:pPr>
      <w:r>
        <w:t>Self-service agent creation by 80% of business users; engineering unblocked.</w:t>
      </w:r>
    </w:p>
    <w:p w14:paraId="7FEADBF2" w14:textId="77777777" w:rsidR="00BC58DF" w:rsidRDefault="00BC58DF">
      <w:pPr>
        <w:spacing w:after="120"/>
      </w:pPr>
    </w:p>
    <w:p w14:paraId="7004D0A4" w14:textId="77777777" w:rsidR="00BC58DF" w:rsidRDefault="00000000">
      <w:pPr>
        <w:pStyle w:val="Heading3"/>
        <w:spacing w:line="300" w:lineRule="auto"/>
      </w:pPr>
      <w:r>
        <w:t>CFO — Transparent Token Economics</w:t>
      </w:r>
    </w:p>
    <w:p w14:paraId="03C51BD8" w14:textId="77777777" w:rsidR="00BC58DF" w:rsidRDefault="00000000">
      <w:pPr>
        <w:spacing w:after="120" w:line="320" w:lineRule="auto"/>
      </w:pPr>
      <w:r>
        <w:rPr>
          <w:b/>
          <w:bCs/>
          <w:color w:val="0B2447"/>
          <w:sz w:val="24"/>
          <w:szCs w:val="24"/>
        </w:rPr>
        <w:t>Every prompt costed. Every agent budgeted. Every ROI dollar measurable.</w:t>
      </w:r>
    </w:p>
    <w:p w14:paraId="3BC9CF1D" w14:textId="77777777" w:rsidR="00BC58DF" w:rsidRDefault="00000000">
      <w:pPr>
        <w:spacing w:after="120" w:line="320" w:lineRule="auto"/>
      </w:pPr>
      <w:r>
        <w:lastRenderedPageBreak/>
        <w:t>Per-user, per-agent, per-model token accounting with real-time cost dashboards and internal chargeback pricing. Model tiering routes simple tasks to cheap models and reserves frontier compute for what justifies it.</w:t>
      </w:r>
    </w:p>
    <w:p w14:paraId="481B545E" w14:textId="77777777" w:rsidR="00BC58DF" w:rsidRDefault="00000000">
      <w:pPr>
        <w:pStyle w:val="ListParagraph"/>
        <w:numPr>
          <w:ilvl w:val="0"/>
          <w:numId w:val="2"/>
        </w:numPr>
        <w:spacing w:after="80" w:line="300" w:lineRule="auto"/>
      </w:pPr>
      <w:r>
        <w:t>Average enterprise ROI of 1.7x in 12–18 months; 26–31% cost savings reported.</w:t>
      </w:r>
    </w:p>
    <w:p w14:paraId="5B8062E7" w14:textId="77777777" w:rsidR="00BC58DF" w:rsidRDefault="00000000">
      <w:pPr>
        <w:pStyle w:val="ListParagraph"/>
        <w:numPr>
          <w:ilvl w:val="0"/>
          <w:numId w:val="2"/>
        </w:numPr>
        <w:spacing w:after="80" w:line="300" w:lineRule="auto"/>
      </w:pPr>
      <w:r>
        <w:t>Token cost overhead under 15% versus direct API access at scale.</w:t>
      </w:r>
    </w:p>
    <w:p w14:paraId="675F2011" w14:textId="77777777" w:rsidR="00BC58DF" w:rsidRDefault="00000000">
      <w:pPr>
        <w:pStyle w:val="ListParagraph"/>
        <w:numPr>
          <w:ilvl w:val="0"/>
          <w:numId w:val="2"/>
        </w:numPr>
        <w:spacing w:after="80" w:line="300" w:lineRule="auto"/>
      </w:pPr>
      <w:r>
        <w:t>CFO chargeback dashboard — operations pays operations, marketing pays marketing.</w:t>
      </w:r>
    </w:p>
    <w:p w14:paraId="475E1872" w14:textId="77777777" w:rsidR="00BC58DF" w:rsidRDefault="00BC58DF">
      <w:pPr>
        <w:spacing w:after="120"/>
      </w:pPr>
    </w:p>
    <w:p w14:paraId="7FDCB94F" w14:textId="77777777" w:rsidR="00BC58DF" w:rsidRDefault="00000000">
      <w:pPr>
        <w:pStyle w:val="Heading3"/>
        <w:spacing w:line="300" w:lineRule="auto"/>
      </w:pPr>
      <w:r>
        <w:t>CISO — Zero-Trust by Default</w:t>
      </w:r>
    </w:p>
    <w:p w14:paraId="51BDFB1E" w14:textId="77777777" w:rsidR="00BC58DF" w:rsidRDefault="00000000">
      <w:pPr>
        <w:spacing w:after="120" w:line="320" w:lineRule="auto"/>
      </w:pPr>
      <w:r>
        <w:rPr>
          <w:b/>
          <w:bCs/>
          <w:color w:val="0B2447"/>
          <w:sz w:val="24"/>
          <w:szCs w:val="24"/>
        </w:rPr>
        <w:t>EU AI Act-ready. SOC 2-aligned. 100% action auditability.</w:t>
      </w:r>
    </w:p>
    <w:p w14:paraId="00578BA3" w14:textId="77777777" w:rsidR="00BC58DF" w:rsidRDefault="00000000">
      <w:pPr>
        <w:spacing w:after="120" w:line="320" w:lineRule="auto"/>
      </w:pPr>
      <w:r>
        <w:t>Six dimensions of access control. PII detection before LLM injection. Append-only audit trail with integrity checksums. Self-hosted Ollama for fully local inference when data sovereignty is non-negotiable.</w:t>
      </w:r>
    </w:p>
    <w:p w14:paraId="3994A89C" w14:textId="77777777" w:rsidR="00BC58DF" w:rsidRDefault="00000000">
      <w:pPr>
        <w:pStyle w:val="ListParagraph"/>
        <w:numPr>
          <w:ilvl w:val="0"/>
          <w:numId w:val="2"/>
        </w:numPr>
        <w:spacing w:after="80" w:line="300" w:lineRule="auto"/>
      </w:pPr>
      <w:r>
        <w:t>100% of EU AI Act high-risk requirements met by August 2, 2026.</w:t>
      </w:r>
    </w:p>
    <w:p w14:paraId="17152B96" w14:textId="77777777" w:rsidR="00BC58DF" w:rsidRDefault="00000000">
      <w:pPr>
        <w:pStyle w:val="ListParagraph"/>
        <w:numPr>
          <w:ilvl w:val="0"/>
          <w:numId w:val="2"/>
        </w:numPr>
        <w:spacing w:after="80" w:line="300" w:lineRule="auto"/>
      </w:pPr>
      <w:r>
        <w:t>Per-user MCP access policies — finance team cannot query Salesforce; sales cannot query SAP FI.</w:t>
      </w:r>
    </w:p>
    <w:p w14:paraId="2235E339" w14:textId="77777777" w:rsidR="00BC58DF" w:rsidRDefault="00000000">
      <w:pPr>
        <w:pStyle w:val="ListParagraph"/>
        <w:numPr>
          <w:ilvl w:val="0"/>
          <w:numId w:val="2"/>
        </w:numPr>
        <w:spacing w:after="80" w:line="300" w:lineRule="auto"/>
      </w:pPr>
      <w:r>
        <w:t>Comprehensive audit correlates with SAP Setup Audit Trail and Salesforce Audit Trail end-to-end.</w:t>
      </w:r>
    </w:p>
    <w:p w14:paraId="085AD15C" w14:textId="77777777" w:rsidR="00BC58DF" w:rsidRDefault="00BC58DF">
      <w:pPr>
        <w:spacing w:after="120"/>
      </w:pPr>
    </w:p>
    <w:p w14:paraId="1F1E6D1F" w14:textId="77777777" w:rsidR="00BC58DF" w:rsidRDefault="00000000">
      <w:pPr>
        <w:pStyle w:val="Heading3"/>
        <w:spacing w:line="300" w:lineRule="auto"/>
      </w:pPr>
      <w:r>
        <w:t>CDO — One Data Fabric, Every Source</w:t>
      </w:r>
    </w:p>
    <w:p w14:paraId="6D4D08AA" w14:textId="77777777" w:rsidR="00BC58DF" w:rsidRDefault="00000000">
      <w:pPr>
        <w:spacing w:after="120" w:line="320" w:lineRule="auto"/>
      </w:pPr>
      <w:r>
        <w:rPr>
          <w:b/>
          <w:bCs/>
          <w:color w:val="0B2447"/>
          <w:sz w:val="24"/>
          <w:szCs w:val="24"/>
        </w:rPr>
        <w:t>Real-time SAP. Real-time Salesforce. Hybrid RAG. Sub-200ms search.</w:t>
      </w:r>
    </w:p>
    <w:p w14:paraId="3F5249C2" w14:textId="77777777" w:rsidR="00BC58DF" w:rsidRDefault="00000000">
      <w:pPr>
        <w:spacing w:after="120" w:line="320" w:lineRule="auto"/>
      </w:pPr>
      <w:r>
        <w:t>Stop moving data to AI. NXπ brings AI to your data — through MCP servers, native connectors, and a hybrid vector + full-text index that retrieves your enterprise knowledge in milliseconds.</w:t>
      </w:r>
    </w:p>
    <w:p w14:paraId="52E475CF" w14:textId="77777777" w:rsidR="00BC58DF" w:rsidRDefault="00000000">
      <w:pPr>
        <w:pStyle w:val="ListParagraph"/>
        <w:numPr>
          <w:ilvl w:val="0"/>
          <w:numId w:val="2"/>
        </w:numPr>
        <w:spacing w:after="80" w:line="300" w:lineRule="auto"/>
      </w:pPr>
      <w:r>
        <w:t>80% reduction in ad-hoc BI request backlog through natural-language self-serve.</w:t>
      </w:r>
    </w:p>
    <w:p w14:paraId="21887A57" w14:textId="77777777" w:rsidR="00BC58DF" w:rsidRDefault="00000000">
      <w:pPr>
        <w:pStyle w:val="ListParagraph"/>
        <w:numPr>
          <w:ilvl w:val="0"/>
          <w:numId w:val="2"/>
        </w:numPr>
        <w:spacing w:after="80" w:line="300" w:lineRule="auto"/>
      </w:pPr>
      <w:r>
        <w:t>Hybrid retrieval recall at 91%+ on enterprise benchmarks — up from 65–78% vector-only.</w:t>
      </w:r>
    </w:p>
    <w:p w14:paraId="0BCA23EA" w14:textId="77777777" w:rsidR="00BC58DF" w:rsidRDefault="00000000">
      <w:pPr>
        <w:pStyle w:val="ListParagraph"/>
        <w:numPr>
          <w:ilvl w:val="0"/>
          <w:numId w:val="2"/>
        </w:numPr>
        <w:spacing w:after="80" w:line="300" w:lineRule="auto"/>
      </w:pPr>
      <w:r>
        <w:t>Cross-source joins across SAP HANA, Salesforce, MongoDB, and the data warehouse in one workflow.</w:t>
      </w:r>
    </w:p>
    <w:p w14:paraId="64D08659" w14:textId="77777777" w:rsidR="00BC58DF" w:rsidRDefault="00BC58DF">
      <w:pPr>
        <w:spacing w:after="120"/>
      </w:pPr>
    </w:p>
    <w:p w14:paraId="2EBEE2F8" w14:textId="77777777" w:rsidR="00BC58DF" w:rsidRDefault="00000000">
      <w:pPr>
        <w:pStyle w:val="Heading3"/>
        <w:spacing w:line="300" w:lineRule="auto"/>
      </w:pPr>
      <w:r>
        <w:t>COO — Process Automation at Enterprise Scale</w:t>
      </w:r>
    </w:p>
    <w:p w14:paraId="6C160761" w14:textId="77777777" w:rsidR="00BC58DF" w:rsidRDefault="00000000">
      <w:pPr>
        <w:spacing w:after="120" w:line="320" w:lineRule="auto"/>
      </w:pPr>
      <w:r>
        <w:rPr>
          <w:b/>
          <w:bCs/>
          <w:color w:val="0B2447"/>
          <w:sz w:val="24"/>
          <w:szCs w:val="24"/>
        </w:rPr>
        <w:t xml:space="preserve">Visual workflows, </w:t>
      </w:r>
      <w:proofErr w:type="spellStart"/>
      <w:r>
        <w:rPr>
          <w:b/>
          <w:bCs/>
          <w:color w:val="0B2447"/>
          <w:sz w:val="24"/>
          <w:szCs w:val="24"/>
        </w:rPr>
        <w:t>cron</w:t>
      </w:r>
      <w:proofErr w:type="spellEnd"/>
      <w:r>
        <w:rPr>
          <w:b/>
          <w:bCs/>
          <w:color w:val="0B2447"/>
          <w:sz w:val="24"/>
          <w:szCs w:val="24"/>
        </w:rPr>
        <w:t xml:space="preserve"> schedules, webhook triggers, DAG execution.</w:t>
      </w:r>
    </w:p>
    <w:p w14:paraId="2425F26D" w14:textId="77777777" w:rsidR="00BC58DF" w:rsidRDefault="00000000">
      <w:pPr>
        <w:spacing w:after="120" w:line="320" w:lineRule="auto"/>
      </w:pPr>
      <w:r>
        <w:t>A no-code canvas with nine node types and real DAG execution semantics — built so operations leaders can wire a financial close, an onboarding, or an audit prep in an afternoon.</w:t>
      </w:r>
    </w:p>
    <w:p w14:paraId="5ED1FF83" w14:textId="77777777" w:rsidR="00BC58DF" w:rsidRDefault="00000000">
      <w:pPr>
        <w:pStyle w:val="ListParagraph"/>
        <w:numPr>
          <w:ilvl w:val="0"/>
          <w:numId w:val="2"/>
        </w:numPr>
        <w:spacing w:after="80" w:line="300" w:lineRule="auto"/>
      </w:pPr>
      <w:r>
        <w:t>30–50% reduction in manual process time across automated workflows.</w:t>
      </w:r>
    </w:p>
    <w:p w14:paraId="39441C1B" w14:textId="77777777" w:rsidR="00BC58DF" w:rsidRDefault="00000000">
      <w:pPr>
        <w:pStyle w:val="ListParagraph"/>
        <w:numPr>
          <w:ilvl w:val="0"/>
          <w:numId w:val="2"/>
        </w:numPr>
        <w:spacing w:after="80" w:line="300" w:lineRule="auto"/>
      </w:pPr>
      <w:r>
        <w:t>60–70% first-response automation rate on service cases.</w:t>
      </w:r>
    </w:p>
    <w:p w14:paraId="04F717A5" w14:textId="77777777" w:rsidR="00BC58DF" w:rsidRDefault="00000000">
      <w:pPr>
        <w:pStyle w:val="ListParagraph"/>
        <w:numPr>
          <w:ilvl w:val="0"/>
          <w:numId w:val="2"/>
        </w:numPr>
        <w:spacing w:after="80" w:line="300" w:lineRule="auto"/>
      </w:pPr>
      <w:r>
        <w:lastRenderedPageBreak/>
        <w:t>90% auto-resolution rate on data quality remediation workflows.</w:t>
      </w:r>
    </w:p>
    <w:p w14:paraId="1652D4A2" w14:textId="77777777" w:rsidR="00BC58DF" w:rsidRDefault="00BC58DF">
      <w:pPr>
        <w:spacing w:after="120"/>
      </w:pPr>
    </w:p>
    <w:p w14:paraId="02B40D78" w14:textId="77777777" w:rsidR="00BC58DF" w:rsidRDefault="00000000">
      <w:pPr>
        <w:pStyle w:val="Heading3"/>
        <w:spacing w:line="300" w:lineRule="auto"/>
      </w:pPr>
      <w:r>
        <w:t>CRO / CMO — Customer Intelligence as a Runtime</w:t>
      </w:r>
    </w:p>
    <w:p w14:paraId="50755410" w14:textId="77777777" w:rsidR="00BC58DF" w:rsidRDefault="00000000">
      <w:pPr>
        <w:spacing w:after="120" w:line="320" w:lineRule="auto"/>
      </w:pPr>
      <w:r>
        <w:rPr>
          <w:b/>
          <w:bCs/>
          <w:color w:val="0B2447"/>
          <w:sz w:val="24"/>
          <w:szCs w:val="24"/>
        </w:rPr>
        <w:t>SAP order history + Salesforce CRM + market signals + your knowledge base — fused.</w:t>
      </w:r>
    </w:p>
    <w:p w14:paraId="4026CEBE" w14:textId="77777777" w:rsidR="00BC58DF" w:rsidRDefault="00000000">
      <w:pPr>
        <w:spacing w:after="120" w:line="320" w:lineRule="auto"/>
      </w:pPr>
      <w:r>
        <w:t>NXπ’s multi-agent pipelines merge Salesforce, SAP, Data Cloud, and external signals into a unified customer 360 view that does not need a new data warehouse build.</w:t>
      </w:r>
    </w:p>
    <w:p w14:paraId="2BD63334" w14:textId="77777777" w:rsidR="00BC58DF" w:rsidRDefault="00000000">
      <w:pPr>
        <w:pStyle w:val="ListParagraph"/>
        <w:numPr>
          <w:ilvl w:val="0"/>
          <w:numId w:val="2"/>
        </w:numPr>
        <w:spacing w:after="80" w:line="300" w:lineRule="auto"/>
      </w:pPr>
      <w:r>
        <w:t>30–50% improvement in customer retention from unified lifecycle intelligence.</w:t>
      </w:r>
    </w:p>
    <w:p w14:paraId="5377261C" w14:textId="77777777" w:rsidR="00BC58DF" w:rsidRDefault="00000000">
      <w:pPr>
        <w:pStyle w:val="ListParagraph"/>
        <w:numPr>
          <w:ilvl w:val="0"/>
          <w:numId w:val="2"/>
        </w:numPr>
        <w:spacing w:after="80" w:line="300" w:lineRule="auto"/>
      </w:pPr>
      <w:r>
        <w:t>25% lift in win rates from predictive deal scoring grounded in real data.</w:t>
      </w:r>
    </w:p>
    <w:p w14:paraId="1CFDE04F" w14:textId="77777777" w:rsidR="00BC58DF" w:rsidRDefault="00000000">
      <w:pPr>
        <w:pStyle w:val="ListParagraph"/>
        <w:numPr>
          <w:ilvl w:val="0"/>
          <w:numId w:val="2"/>
        </w:numPr>
        <w:spacing w:after="80" w:line="300" w:lineRule="auto"/>
      </w:pPr>
      <w:r>
        <w:t>15–20% improvement in revenue forecast accuracy.</w:t>
      </w:r>
    </w:p>
    <w:p w14:paraId="5292EBE6" w14:textId="77777777" w:rsidR="00BC58DF" w:rsidRDefault="00BC58DF">
      <w:pPr>
        <w:spacing w:after="120"/>
      </w:pPr>
    </w:p>
    <w:p w14:paraId="6970AF0B" w14:textId="77777777" w:rsidR="00BC58DF" w:rsidRDefault="00000000">
      <w:r>
        <w:br w:type="page"/>
      </w:r>
    </w:p>
    <w:p w14:paraId="22F826B1" w14:textId="77777777" w:rsidR="00BC58DF" w:rsidRDefault="00000000">
      <w:pPr>
        <w:spacing w:before="240" w:after="80"/>
      </w:pPr>
      <w:r>
        <w:rPr>
          <w:b/>
          <w:bCs/>
          <w:color w:val="0EA5A4"/>
          <w:spacing w:val="40"/>
          <w:sz w:val="18"/>
          <w:szCs w:val="18"/>
        </w:rPr>
        <w:lastRenderedPageBreak/>
        <w:t>SOLUTIONS BY SYSTEM</w:t>
      </w:r>
    </w:p>
    <w:p w14:paraId="24F12B25" w14:textId="77777777" w:rsidR="00BC58DF" w:rsidRDefault="00000000">
      <w:pPr>
        <w:pStyle w:val="Heading1"/>
        <w:pBdr>
          <w:bottom w:val="single" w:sz="12" w:space="6" w:color="2E75B6"/>
        </w:pBdr>
        <w:spacing w:line="320" w:lineRule="auto"/>
      </w:pPr>
      <w:r>
        <w:t>6. Solutions by Enterprise System</w:t>
      </w:r>
    </w:p>
    <w:p w14:paraId="5310F1EC" w14:textId="77777777" w:rsidR="00BC58DF" w:rsidRDefault="00000000">
      <w:pPr>
        <w:spacing w:after="180" w:line="340" w:lineRule="auto"/>
      </w:pPr>
      <w:r>
        <w:rPr>
          <w:i/>
          <w:iCs/>
        </w:rPr>
        <w:t>The two pages every NXπ buyer will visit: SAP and Salesforce. The third — cross-system fusion — is where most of the ROI actually lives.</w:t>
      </w:r>
    </w:p>
    <w:p w14:paraId="4C1DCF83" w14:textId="77777777" w:rsidR="00BC58DF" w:rsidRDefault="00000000">
      <w:pPr>
        <w:pStyle w:val="Heading2"/>
        <w:spacing w:line="320" w:lineRule="auto"/>
      </w:pPr>
      <w:r>
        <w:t>NXπ for SAP</w:t>
      </w:r>
    </w:p>
    <w:p w14:paraId="2EAEBA32" w14:textId="77777777" w:rsidR="00BC58DF" w:rsidRDefault="00000000">
      <w:pPr>
        <w:spacing w:after="140" w:line="320" w:lineRule="auto"/>
      </w:pPr>
      <w:r>
        <w:rPr>
          <w:b/>
          <w:bCs/>
          <w:color w:val="0B2447"/>
          <w:sz w:val="24"/>
          <w:szCs w:val="24"/>
        </w:rPr>
        <w:t>Where SAP HANA Cloud meets the open Model Context Protocol. Where Joule extends to every model.</w:t>
      </w:r>
    </w:p>
    <w:p w14:paraId="0029CF55" w14:textId="77777777" w:rsidR="00BC58DF" w:rsidRDefault="00000000">
      <w:pPr>
        <w:spacing w:after="120" w:line="320" w:lineRule="auto"/>
      </w:pPr>
      <w:r>
        <w:t>SAP went generally available with Joule Studio in Q1 2026 and added full MCP support for HANA Cloud the same quarter. NXπ is a first-class MCP host — the most natural way to extend Joule with model choice, RAG, multi-agent orchestration, and the governance Joule does not yet provide on its own.</w:t>
      </w:r>
    </w:p>
    <w:p w14:paraId="5F03A813" w14:textId="77777777" w:rsidR="00BC58DF" w:rsidRDefault="00000000">
      <w:pPr>
        <w:spacing w:after="200" w:line="320" w:lineRule="auto"/>
      </w:pPr>
      <w:r>
        <w:t xml:space="preserve">NXπ connects to SAP through every available surface: HANA Cloud MCP for direct database and vector access; S/4HANA OData and RFC for FI, MM, SD, and PP modules; BTP services including AI Foundation, Joule interop, and Workflow Management; Integration Suite for bidirectional </w:t>
      </w:r>
      <w:proofErr w:type="spellStart"/>
      <w:r>
        <w:t>iFlow</w:t>
      </w:r>
      <w:proofErr w:type="spellEnd"/>
      <w:r>
        <w:t xml:space="preserve"> event routing.</w:t>
      </w:r>
    </w:p>
    <w:p w14:paraId="2A53C396" w14:textId="77777777" w:rsidR="00BC58DF" w:rsidRDefault="00000000">
      <w:pPr>
        <w:pStyle w:val="Heading3"/>
        <w:spacing w:line="300" w:lineRule="auto"/>
      </w:pPr>
      <w:r>
        <w:t>Featured SAP use cases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800"/>
        <w:gridCol w:w="4880"/>
      </w:tblGrid>
      <w:tr w:rsidR="00BC58DF" w14:paraId="6CF1A249" w14:textId="77777777">
        <w:trPr>
          <w:tblHeader/>
        </w:trPr>
        <w:tc>
          <w:tcPr>
            <w:tcW w:w="3400" w:type="dxa"/>
            <w:tcBorders>
              <w:top w:val="single" w:sz="4" w:space="0" w:color="D1D5DB"/>
              <w:left w:val="single" w:sz="4" w:space="0" w:color="D1D5DB"/>
              <w:bottom w:val="single" w:sz="4" w:space="0" w:color="D1D5DB"/>
              <w:right w:val="single" w:sz="4" w:space="0" w:color="D1D5DB"/>
            </w:tcBorders>
            <w:shd w:val="clear" w:color="auto" w:fill="0B2447"/>
            <w:tcMar>
              <w:top w:w="120" w:type="dxa"/>
              <w:left w:w="160" w:type="dxa"/>
              <w:bottom w:w="120" w:type="dxa"/>
              <w:right w:w="160" w:type="dxa"/>
            </w:tcMar>
          </w:tcPr>
          <w:p w14:paraId="6A831BD2" w14:textId="77777777" w:rsidR="00BC58DF" w:rsidRDefault="00000000">
            <w:r>
              <w:rPr>
                <w:b/>
                <w:bCs/>
                <w:color w:val="FFFFFF"/>
              </w:rPr>
              <w:t>Use case</w:t>
            </w:r>
          </w:p>
        </w:tc>
        <w:tc>
          <w:tcPr>
            <w:tcW w:w="1800" w:type="dxa"/>
            <w:tcBorders>
              <w:top w:val="single" w:sz="4" w:space="0" w:color="D1D5DB"/>
              <w:left w:val="single" w:sz="4" w:space="0" w:color="D1D5DB"/>
              <w:bottom w:val="single" w:sz="4" w:space="0" w:color="D1D5DB"/>
              <w:right w:val="single" w:sz="4" w:space="0" w:color="D1D5DB"/>
            </w:tcBorders>
            <w:shd w:val="clear" w:color="auto" w:fill="0B2447"/>
            <w:tcMar>
              <w:top w:w="120" w:type="dxa"/>
              <w:left w:w="160" w:type="dxa"/>
              <w:bottom w:w="120" w:type="dxa"/>
              <w:right w:w="160" w:type="dxa"/>
            </w:tcMar>
          </w:tcPr>
          <w:p w14:paraId="42CF2852" w14:textId="77777777" w:rsidR="00BC58DF" w:rsidRDefault="00000000">
            <w:r>
              <w:rPr>
                <w:b/>
                <w:bCs/>
                <w:color w:val="FFFFFF"/>
              </w:rPr>
              <w:t>CXO Sponsor</w:t>
            </w:r>
          </w:p>
        </w:tc>
        <w:tc>
          <w:tcPr>
            <w:tcW w:w="4880" w:type="dxa"/>
            <w:tcBorders>
              <w:top w:val="single" w:sz="4" w:space="0" w:color="D1D5DB"/>
              <w:left w:val="single" w:sz="4" w:space="0" w:color="D1D5DB"/>
              <w:bottom w:val="single" w:sz="4" w:space="0" w:color="D1D5DB"/>
              <w:right w:val="single" w:sz="4" w:space="0" w:color="D1D5DB"/>
            </w:tcBorders>
            <w:shd w:val="clear" w:color="auto" w:fill="0B2447"/>
            <w:tcMar>
              <w:top w:w="120" w:type="dxa"/>
              <w:left w:w="160" w:type="dxa"/>
              <w:bottom w:w="120" w:type="dxa"/>
              <w:right w:w="160" w:type="dxa"/>
            </w:tcMar>
          </w:tcPr>
          <w:p w14:paraId="204AB43F" w14:textId="77777777" w:rsidR="00BC58DF" w:rsidRDefault="00000000">
            <w:r>
              <w:rPr>
                <w:b/>
                <w:bCs/>
                <w:color w:val="FFFFFF"/>
              </w:rPr>
              <w:t>Outcome</w:t>
            </w:r>
          </w:p>
        </w:tc>
      </w:tr>
      <w:tr w:rsidR="00BC58DF" w14:paraId="26E5234C" w14:textId="77777777">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14:paraId="0CEBBCB7" w14:textId="77777777" w:rsidR="00BC58DF" w:rsidRDefault="00000000">
            <w:pPr>
              <w:spacing w:line="280" w:lineRule="auto"/>
            </w:pPr>
            <w:r>
              <w:rPr>
                <w:b/>
                <w:bCs/>
                <w:color w:val="0B2447"/>
                <w:sz w:val="20"/>
                <w:szCs w:val="20"/>
              </w:rPr>
              <w:t>Financial Close Acceleration</w:t>
            </w:r>
          </w:p>
        </w:tc>
        <w:tc>
          <w:tcPr>
            <w:tcW w:w="180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4AB36510" w14:textId="77777777" w:rsidR="00BC58DF" w:rsidRDefault="00000000">
            <w:pPr>
              <w:spacing w:line="280" w:lineRule="auto"/>
            </w:pPr>
            <w:r>
              <w:rPr>
                <w:sz w:val="20"/>
                <w:szCs w:val="20"/>
              </w:rPr>
              <w:t>CFO</w:t>
            </w:r>
          </w:p>
        </w:tc>
        <w:tc>
          <w:tcPr>
            <w:tcW w:w="488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5F38F392" w14:textId="77777777" w:rsidR="00BC58DF" w:rsidRDefault="00000000">
            <w:pPr>
              <w:spacing w:line="280" w:lineRule="auto"/>
            </w:pPr>
            <w:r>
              <w:rPr>
                <w:sz w:val="20"/>
                <w:szCs w:val="20"/>
              </w:rPr>
              <w:t>40–60% reduction in close cycle time. Anomaly detection on G/L postings; auto-generated variance reports.</w:t>
            </w:r>
          </w:p>
        </w:tc>
      </w:tr>
      <w:tr w:rsidR="00BC58DF" w14:paraId="55E394F6" w14:textId="77777777">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14:paraId="3F87ECBB" w14:textId="77777777" w:rsidR="00BC58DF" w:rsidRDefault="00000000">
            <w:pPr>
              <w:spacing w:line="280" w:lineRule="auto"/>
            </w:pPr>
            <w:r>
              <w:rPr>
                <w:b/>
                <w:bCs/>
                <w:color w:val="0B2447"/>
                <w:sz w:val="20"/>
                <w:szCs w:val="20"/>
              </w:rPr>
              <w:t>Procurement Intelligence</w:t>
            </w:r>
          </w:p>
        </w:tc>
        <w:tc>
          <w:tcPr>
            <w:tcW w:w="180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5C919EC5" w14:textId="77777777" w:rsidR="00BC58DF" w:rsidRDefault="00000000">
            <w:pPr>
              <w:spacing w:line="280" w:lineRule="auto"/>
            </w:pPr>
            <w:r>
              <w:rPr>
                <w:sz w:val="20"/>
                <w:szCs w:val="20"/>
              </w:rPr>
              <w:t>COO / CPO</w:t>
            </w:r>
          </w:p>
        </w:tc>
        <w:tc>
          <w:tcPr>
            <w:tcW w:w="488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5984C76D" w14:textId="77777777" w:rsidR="00BC58DF" w:rsidRDefault="00000000">
            <w:pPr>
              <w:spacing w:line="280" w:lineRule="auto"/>
            </w:pPr>
            <w:r>
              <w:rPr>
                <w:sz w:val="20"/>
                <w:szCs w:val="20"/>
              </w:rPr>
              <w:t>15–25% procurement savings. Vendor performance + market signals → sourcing recommendations.</w:t>
            </w:r>
          </w:p>
        </w:tc>
      </w:tr>
      <w:tr w:rsidR="00BC58DF" w14:paraId="75B824C2" w14:textId="77777777">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14:paraId="16D67E95" w14:textId="77777777" w:rsidR="00BC58DF" w:rsidRDefault="00000000">
            <w:pPr>
              <w:spacing w:line="280" w:lineRule="auto"/>
            </w:pPr>
            <w:r>
              <w:rPr>
                <w:b/>
                <w:bCs/>
                <w:color w:val="0B2447"/>
                <w:sz w:val="20"/>
                <w:szCs w:val="20"/>
              </w:rPr>
              <w:t>Supply Chain Risk Detection</w:t>
            </w:r>
          </w:p>
        </w:tc>
        <w:tc>
          <w:tcPr>
            <w:tcW w:w="180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3DC2CC1B" w14:textId="77777777" w:rsidR="00BC58DF" w:rsidRDefault="00000000">
            <w:pPr>
              <w:spacing w:line="280" w:lineRule="auto"/>
            </w:pPr>
            <w:r>
              <w:rPr>
                <w:sz w:val="20"/>
                <w:szCs w:val="20"/>
              </w:rPr>
              <w:t>COO</w:t>
            </w:r>
          </w:p>
        </w:tc>
        <w:tc>
          <w:tcPr>
            <w:tcW w:w="488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751D0790" w14:textId="77777777" w:rsidR="00BC58DF" w:rsidRDefault="00000000">
            <w:pPr>
              <w:spacing w:line="280" w:lineRule="auto"/>
            </w:pPr>
            <w:r>
              <w:rPr>
                <w:sz w:val="20"/>
                <w:szCs w:val="20"/>
              </w:rPr>
              <w:t>Real-time risk detection versus weekly batch. Production orders monitored against external signals.</w:t>
            </w:r>
          </w:p>
        </w:tc>
      </w:tr>
      <w:tr w:rsidR="00BC58DF" w14:paraId="2461C363" w14:textId="77777777">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14:paraId="346713A6" w14:textId="77777777" w:rsidR="00BC58DF" w:rsidRDefault="00000000">
            <w:pPr>
              <w:spacing w:line="280" w:lineRule="auto"/>
            </w:pPr>
            <w:r>
              <w:rPr>
                <w:b/>
                <w:bCs/>
                <w:color w:val="0B2447"/>
                <w:sz w:val="20"/>
                <w:szCs w:val="20"/>
              </w:rPr>
              <w:t>HANA Data Exploration</w:t>
            </w:r>
          </w:p>
        </w:tc>
        <w:tc>
          <w:tcPr>
            <w:tcW w:w="180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716993CE" w14:textId="77777777" w:rsidR="00BC58DF" w:rsidRDefault="00000000">
            <w:pPr>
              <w:spacing w:line="280" w:lineRule="auto"/>
            </w:pPr>
            <w:r>
              <w:rPr>
                <w:sz w:val="20"/>
                <w:szCs w:val="20"/>
              </w:rPr>
              <w:t>CDO</w:t>
            </w:r>
          </w:p>
        </w:tc>
        <w:tc>
          <w:tcPr>
            <w:tcW w:w="488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7A583121" w14:textId="77777777" w:rsidR="00BC58DF" w:rsidRDefault="00000000">
            <w:pPr>
              <w:spacing w:line="280" w:lineRule="auto"/>
            </w:pPr>
            <w:r>
              <w:rPr>
                <w:sz w:val="20"/>
                <w:szCs w:val="20"/>
              </w:rPr>
              <w:t>80% reduction in ad-hoc BI request backlog. Natural-language queries against HANA via MCP.</w:t>
            </w:r>
          </w:p>
        </w:tc>
      </w:tr>
      <w:tr w:rsidR="00BC58DF" w14:paraId="35298992" w14:textId="77777777">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14:paraId="5591854E" w14:textId="77777777" w:rsidR="00BC58DF" w:rsidRDefault="00000000">
            <w:pPr>
              <w:spacing w:line="280" w:lineRule="auto"/>
            </w:pPr>
            <w:r>
              <w:rPr>
                <w:b/>
                <w:bCs/>
                <w:color w:val="0B2447"/>
                <w:sz w:val="20"/>
                <w:szCs w:val="20"/>
              </w:rPr>
              <w:t>S/4HANA Migration Planning</w:t>
            </w:r>
          </w:p>
        </w:tc>
        <w:tc>
          <w:tcPr>
            <w:tcW w:w="180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4AB3E118" w14:textId="77777777" w:rsidR="00BC58DF" w:rsidRDefault="00000000">
            <w:pPr>
              <w:spacing w:line="280" w:lineRule="auto"/>
            </w:pPr>
            <w:r>
              <w:rPr>
                <w:sz w:val="20"/>
                <w:szCs w:val="20"/>
              </w:rPr>
              <w:t>CTO</w:t>
            </w:r>
          </w:p>
        </w:tc>
        <w:tc>
          <w:tcPr>
            <w:tcW w:w="488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71CF34CD" w14:textId="77777777" w:rsidR="00BC58DF" w:rsidRDefault="00000000">
            <w:pPr>
              <w:spacing w:line="280" w:lineRule="auto"/>
            </w:pPr>
            <w:r>
              <w:rPr>
                <w:sz w:val="20"/>
                <w:szCs w:val="20"/>
              </w:rPr>
              <w:t xml:space="preserve">50–70% faster migration assessment. Agents </w:t>
            </w:r>
            <w:proofErr w:type="spellStart"/>
            <w:r>
              <w:rPr>
                <w:sz w:val="20"/>
                <w:szCs w:val="20"/>
              </w:rPr>
              <w:t>analyze</w:t>
            </w:r>
            <w:proofErr w:type="spellEnd"/>
            <w:r>
              <w:rPr>
                <w:sz w:val="20"/>
                <w:szCs w:val="20"/>
              </w:rPr>
              <w:t xml:space="preserve"> custom ABAP via MCP.</w:t>
            </w:r>
          </w:p>
        </w:tc>
      </w:tr>
    </w:tbl>
    <w:p w14:paraId="158F6B80" w14:textId="77777777" w:rsidR="00BC58DF" w:rsidRDefault="00BC58DF">
      <w:pPr>
        <w:spacing w:after="2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C58DF" w14:paraId="4F404BD7" w14:textId="77777777">
        <w:tc>
          <w:tcPr>
            <w:tcW w:w="10080" w:type="dxa"/>
            <w:tcBorders>
              <w:top w:val="none" w:sz="0" w:space="0" w:color="FFFFFF"/>
              <w:left w:val="single" w:sz="24" w:space="0" w:color="0EA5A4"/>
              <w:bottom w:val="none" w:sz="0" w:space="0" w:color="FFFFFF"/>
              <w:right w:val="none" w:sz="0" w:space="0" w:color="FFFFFF"/>
            </w:tcBorders>
            <w:shd w:val="clear" w:color="auto" w:fill="E6F7F6"/>
            <w:tcMar>
              <w:top w:w="200" w:type="dxa"/>
              <w:left w:w="240" w:type="dxa"/>
              <w:bottom w:w="200" w:type="dxa"/>
              <w:right w:w="240" w:type="dxa"/>
            </w:tcMar>
          </w:tcPr>
          <w:p w14:paraId="3A1BCF96" w14:textId="77777777" w:rsidR="00BC58DF" w:rsidRDefault="00000000">
            <w:pPr>
              <w:spacing w:after="100" w:line="320" w:lineRule="auto"/>
            </w:pPr>
            <w:r>
              <w:rPr>
                <w:b/>
                <w:bCs/>
                <w:color w:val="0B2447"/>
              </w:rPr>
              <w:lastRenderedPageBreak/>
              <w:t>Why NXπ wins for SAP-led enterprises.</w:t>
            </w:r>
          </w:p>
          <w:p w14:paraId="57F78F46" w14:textId="77777777" w:rsidR="00BC58DF" w:rsidRDefault="00000000">
            <w:pPr>
              <w:spacing w:line="300" w:lineRule="auto"/>
            </w:pPr>
            <w:r>
              <w:rPr>
                <w:sz w:val="21"/>
                <w:szCs w:val="21"/>
              </w:rPr>
              <w:t>Joule Studio is built for SAP. NXπ is built for the enterprise that runs on SAP and on Salesforce, on twelve databases, and on tens of thousands of documents. NXπ extends Joule across the rest of the estate — with model choice, hybrid RAG grounding, and the audit trail that travels with every query.</w:t>
            </w:r>
          </w:p>
        </w:tc>
      </w:tr>
    </w:tbl>
    <w:p w14:paraId="70AA6805" w14:textId="77777777" w:rsidR="00BC58DF" w:rsidRDefault="00000000">
      <w:r>
        <w:br w:type="page"/>
      </w:r>
    </w:p>
    <w:p w14:paraId="54657DC1" w14:textId="77777777" w:rsidR="00BC58DF" w:rsidRDefault="00000000">
      <w:pPr>
        <w:pStyle w:val="Heading2"/>
        <w:spacing w:line="320" w:lineRule="auto"/>
      </w:pPr>
      <w:r>
        <w:lastRenderedPageBreak/>
        <w:t>NXπ for Salesforce</w:t>
      </w:r>
    </w:p>
    <w:p w14:paraId="54962B34" w14:textId="77777777" w:rsidR="00BC58DF" w:rsidRDefault="00000000">
      <w:pPr>
        <w:spacing w:after="140" w:line="320" w:lineRule="auto"/>
      </w:pPr>
      <w:proofErr w:type="spellStart"/>
      <w:r>
        <w:rPr>
          <w:b/>
          <w:bCs/>
          <w:color w:val="0B2447"/>
          <w:sz w:val="24"/>
          <w:szCs w:val="24"/>
        </w:rPr>
        <w:t>Agentforce</w:t>
      </w:r>
      <w:proofErr w:type="spellEnd"/>
      <w:r>
        <w:rPr>
          <w:b/>
          <w:bCs/>
          <w:color w:val="0B2447"/>
          <w:sz w:val="24"/>
          <w:szCs w:val="24"/>
        </w:rPr>
        <w:t xml:space="preserve"> is the agent. NXπ is the control plane around it.</w:t>
      </w:r>
    </w:p>
    <w:p w14:paraId="20045EC8" w14:textId="77777777" w:rsidR="00BC58DF" w:rsidRDefault="00000000">
      <w:pPr>
        <w:spacing w:after="200" w:line="320" w:lineRule="auto"/>
      </w:pPr>
      <w:r>
        <w:t xml:space="preserve">Salesforce has signed 18,500+ </w:t>
      </w:r>
      <w:proofErr w:type="spellStart"/>
      <w:r>
        <w:t>Agentforce</w:t>
      </w:r>
      <w:proofErr w:type="spellEnd"/>
      <w:r>
        <w:t xml:space="preserve"> deals and made native MCP support generally available in 2026. NXπ integrates at every Salesforce surface: REST/SOAP, SOQL/SOSL, MuleSoft MCP, Data Cloud, </w:t>
      </w:r>
      <w:proofErr w:type="spellStart"/>
      <w:r>
        <w:t>Agentforce</w:t>
      </w:r>
      <w:proofErr w:type="spellEnd"/>
      <w:r>
        <w:t xml:space="preserve"> A2A, and Einstein AI as a tool. The result is a single platform where Salesforce-resident agents collaborate with agents that act on SAP, Snowflake, MongoDB, and your document corpus.</w:t>
      </w:r>
    </w:p>
    <w:p w14:paraId="62B4DFEB" w14:textId="77777777" w:rsidR="00BC58DF" w:rsidRDefault="00000000">
      <w:pPr>
        <w:pStyle w:val="Heading3"/>
        <w:spacing w:line="300" w:lineRule="auto"/>
      </w:pPr>
      <w:r>
        <w:t>Featured Salesforce use cases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800"/>
        <w:gridCol w:w="4880"/>
      </w:tblGrid>
      <w:tr w:rsidR="00BC58DF" w14:paraId="3F5A565A" w14:textId="77777777">
        <w:trPr>
          <w:tblHeader/>
        </w:trPr>
        <w:tc>
          <w:tcPr>
            <w:tcW w:w="3400" w:type="dxa"/>
            <w:tcBorders>
              <w:top w:val="single" w:sz="4" w:space="0" w:color="D1D5DB"/>
              <w:left w:val="single" w:sz="4" w:space="0" w:color="D1D5DB"/>
              <w:bottom w:val="single" w:sz="4" w:space="0" w:color="D1D5DB"/>
              <w:right w:val="single" w:sz="4" w:space="0" w:color="D1D5DB"/>
            </w:tcBorders>
            <w:shd w:val="clear" w:color="auto" w:fill="0B2447"/>
            <w:tcMar>
              <w:top w:w="120" w:type="dxa"/>
              <w:left w:w="160" w:type="dxa"/>
              <w:bottom w:w="120" w:type="dxa"/>
              <w:right w:w="160" w:type="dxa"/>
            </w:tcMar>
          </w:tcPr>
          <w:p w14:paraId="4FFF1C3A" w14:textId="77777777" w:rsidR="00BC58DF" w:rsidRDefault="00000000">
            <w:r>
              <w:rPr>
                <w:b/>
                <w:bCs/>
                <w:color w:val="FFFFFF"/>
              </w:rPr>
              <w:t>Use case</w:t>
            </w:r>
          </w:p>
        </w:tc>
        <w:tc>
          <w:tcPr>
            <w:tcW w:w="1800" w:type="dxa"/>
            <w:tcBorders>
              <w:top w:val="single" w:sz="4" w:space="0" w:color="D1D5DB"/>
              <w:left w:val="single" w:sz="4" w:space="0" w:color="D1D5DB"/>
              <w:bottom w:val="single" w:sz="4" w:space="0" w:color="D1D5DB"/>
              <w:right w:val="single" w:sz="4" w:space="0" w:color="D1D5DB"/>
            </w:tcBorders>
            <w:shd w:val="clear" w:color="auto" w:fill="0B2447"/>
            <w:tcMar>
              <w:top w:w="120" w:type="dxa"/>
              <w:left w:w="160" w:type="dxa"/>
              <w:bottom w:w="120" w:type="dxa"/>
              <w:right w:w="160" w:type="dxa"/>
            </w:tcMar>
          </w:tcPr>
          <w:p w14:paraId="08EABF74" w14:textId="77777777" w:rsidR="00BC58DF" w:rsidRDefault="00000000">
            <w:r>
              <w:rPr>
                <w:b/>
                <w:bCs/>
                <w:color w:val="FFFFFF"/>
              </w:rPr>
              <w:t>CXO Sponsor</w:t>
            </w:r>
          </w:p>
        </w:tc>
        <w:tc>
          <w:tcPr>
            <w:tcW w:w="4880" w:type="dxa"/>
            <w:tcBorders>
              <w:top w:val="single" w:sz="4" w:space="0" w:color="D1D5DB"/>
              <w:left w:val="single" w:sz="4" w:space="0" w:color="D1D5DB"/>
              <w:bottom w:val="single" w:sz="4" w:space="0" w:color="D1D5DB"/>
              <w:right w:val="single" w:sz="4" w:space="0" w:color="D1D5DB"/>
            </w:tcBorders>
            <w:shd w:val="clear" w:color="auto" w:fill="0B2447"/>
            <w:tcMar>
              <w:top w:w="120" w:type="dxa"/>
              <w:left w:w="160" w:type="dxa"/>
              <w:bottom w:w="120" w:type="dxa"/>
              <w:right w:w="160" w:type="dxa"/>
            </w:tcMar>
          </w:tcPr>
          <w:p w14:paraId="30BF8B93" w14:textId="77777777" w:rsidR="00BC58DF" w:rsidRDefault="00000000">
            <w:r>
              <w:rPr>
                <w:b/>
                <w:bCs/>
                <w:color w:val="FFFFFF"/>
              </w:rPr>
              <w:t>Outcome</w:t>
            </w:r>
          </w:p>
        </w:tc>
      </w:tr>
      <w:tr w:rsidR="00BC58DF" w14:paraId="41A6C69C" w14:textId="77777777">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14:paraId="07AF8D45" w14:textId="77777777" w:rsidR="00BC58DF" w:rsidRDefault="00000000">
            <w:pPr>
              <w:spacing w:line="280" w:lineRule="auto"/>
            </w:pPr>
            <w:r>
              <w:rPr>
                <w:b/>
                <w:bCs/>
                <w:color w:val="0B2447"/>
                <w:sz w:val="20"/>
                <w:szCs w:val="20"/>
              </w:rPr>
              <w:t>Customer 360 Intelligence</w:t>
            </w:r>
          </w:p>
        </w:tc>
        <w:tc>
          <w:tcPr>
            <w:tcW w:w="180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74CB49FC" w14:textId="77777777" w:rsidR="00BC58DF" w:rsidRDefault="00000000">
            <w:pPr>
              <w:spacing w:line="280" w:lineRule="auto"/>
            </w:pPr>
            <w:r>
              <w:rPr>
                <w:sz w:val="20"/>
                <w:szCs w:val="20"/>
              </w:rPr>
              <w:t>CRO / CMO</w:t>
            </w:r>
          </w:p>
        </w:tc>
        <w:tc>
          <w:tcPr>
            <w:tcW w:w="488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35E2320C" w14:textId="77777777" w:rsidR="00BC58DF" w:rsidRDefault="00000000">
            <w:pPr>
              <w:spacing w:line="280" w:lineRule="auto"/>
            </w:pPr>
            <w:r>
              <w:rPr>
                <w:sz w:val="20"/>
                <w:szCs w:val="20"/>
              </w:rPr>
              <w:t>30–50% improvement in retention. Salesforce CRM + SAP orders + support tickets fused.</w:t>
            </w:r>
          </w:p>
        </w:tc>
      </w:tr>
      <w:tr w:rsidR="00BC58DF" w14:paraId="6EBD1E1A" w14:textId="77777777">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14:paraId="361E16C1" w14:textId="77777777" w:rsidR="00BC58DF" w:rsidRDefault="00000000">
            <w:pPr>
              <w:spacing w:line="280" w:lineRule="auto"/>
            </w:pPr>
            <w:r>
              <w:rPr>
                <w:b/>
                <w:bCs/>
                <w:color w:val="0B2447"/>
                <w:sz w:val="20"/>
                <w:szCs w:val="20"/>
              </w:rPr>
              <w:t>Predictive Deal Scoring</w:t>
            </w:r>
          </w:p>
        </w:tc>
        <w:tc>
          <w:tcPr>
            <w:tcW w:w="180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3B5BB9EA" w14:textId="77777777" w:rsidR="00BC58DF" w:rsidRDefault="00000000">
            <w:pPr>
              <w:spacing w:line="280" w:lineRule="auto"/>
            </w:pPr>
            <w:r>
              <w:rPr>
                <w:sz w:val="20"/>
                <w:szCs w:val="20"/>
              </w:rPr>
              <w:t>CRO</w:t>
            </w:r>
          </w:p>
        </w:tc>
        <w:tc>
          <w:tcPr>
            <w:tcW w:w="488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48F80AA4" w14:textId="77777777" w:rsidR="00BC58DF" w:rsidRDefault="00000000">
            <w:pPr>
              <w:spacing w:line="280" w:lineRule="auto"/>
            </w:pPr>
            <w:r>
              <w:rPr>
                <w:sz w:val="20"/>
                <w:szCs w:val="20"/>
              </w:rPr>
              <w:t>25% lift in win rates. Opportunity data + Einstein + market intelligence via RAG.</w:t>
            </w:r>
          </w:p>
        </w:tc>
      </w:tr>
      <w:tr w:rsidR="00BC58DF" w14:paraId="57E6D660" w14:textId="77777777">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14:paraId="6838B431" w14:textId="77777777" w:rsidR="00BC58DF" w:rsidRDefault="00000000">
            <w:pPr>
              <w:spacing w:line="280" w:lineRule="auto"/>
            </w:pPr>
            <w:r>
              <w:rPr>
                <w:b/>
                <w:bCs/>
                <w:color w:val="0B2447"/>
                <w:sz w:val="20"/>
                <w:szCs w:val="20"/>
              </w:rPr>
              <w:t>Service Case Automation</w:t>
            </w:r>
          </w:p>
        </w:tc>
        <w:tc>
          <w:tcPr>
            <w:tcW w:w="180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6265B974" w14:textId="77777777" w:rsidR="00BC58DF" w:rsidRDefault="00000000">
            <w:pPr>
              <w:spacing w:line="280" w:lineRule="auto"/>
            </w:pPr>
            <w:r>
              <w:rPr>
                <w:sz w:val="20"/>
                <w:szCs w:val="20"/>
              </w:rPr>
              <w:t>COO / CXO</w:t>
            </w:r>
          </w:p>
        </w:tc>
        <w:tc>
          <w:tcPr>
            <w:tcW w:w="488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7388886E" w14:textId="77777777" w:rsidR="00BC58DF" w:rsidRDefault="00000000">
            <w:pPr>
              <w:spacing w:line="280" w:lineRule="auto"/>
            </w:pPr>
            <w:r>
              <w:rPr>
                <w:sz w:val="20"/>
                <w:szCs w:val="20"/>
              </w:rPr>
              <w:t>60–70% first-response automation. Agents triage Service Cloud cases and draft responses.</w:t>
            </w:r>
          </w:p>
        </w:tc>
      </w:tr>
      <w:tr w:rsidR="00BC58DF" w14:paraId="1392FF4C" w14:textId="77777777">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14:paraId="4DBB08CD" w14:textId="77777777" w:rsidR="00BC58DF" w:rsidRDefault="00000000">
            <w:pPr>
              <w:spacing w:line="280" w:lineRule="auto"/>
            </w:pPr>
            <w:r>
              <w:rPr>
                <w:b/>
                <w:bCs/>
                <w:color w:val="0B2447"/>
                <w:sz w:val="20"/>
                <w:szCs w:val="20"/>
              </w:rPr>
              <w:t>Marketing Campaign ROI</w:t>
            </w:r>
          </w:p>
        </w:tc>
        <w:tc>
          <w:tcPr>
            <w:tcW w:w="180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1B4D77D7" w14:textId="77777777" w:rsidR="00BC58DF" w:rsidRDefault="00000000">
            <w:pPr>
              <w:spacing w:line="280" w:lineRule="auto"/>
            </w:pPr>
            <w:r>
              <w:rPr>
                <w:sz w:val="20"/>
                <w:szCs w:val="20"/>
              </w:rPr>
              <w:t>CMO</w:t>
            </w:r>
          </w:p>
        </w:tc>
        <w:tc>
          <w:tcPr>
            <w:tcW w:w="488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05FB4502" w14:textId="77777777" w:rsidR="00BC58DF" w:rsidRDefault="00000000">
            <w:pPr>
              <w:spacing w:line="280" w:lineRule="auto"/>
            </w:pPr>
            <w:r>
              <w:rPr>
                <w:sz w:val="20"/>
                <w:szCs w:val="20"/>
              </w:rPr>
              <w:t xml:space="preserve">Real-time campaign optimization. Data Cloud segments </w:t>
            </w:r>
            <w:proofErr w:type="spellStart"/>
            <w:r>
              <w:rPr>
                <w:sz w:val="20"/>
                <w:szCs w:val="20"/>
              </w:rPr>
              <w:t>analyzed</w:t>
            </w:r>
            <w:proofErr w:type="spellEnd"/>
            <w:r>
              <w:rPr>
                <w:sz w:val="20"/>
                <w:szCs w:val="20"/>
              </w:rPr>
              <w:t xml:space="preserve"> against pipeline outcomes.</w:t>
            </w:r>
          </w:p>
        </w:tc>
      </w:tr>
      <w:tr w:rsidR="00BC58DF" w14:paraId="37A834F6" w14:textId="77777777">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14:paraId="0958C87A" w14:textId="77777777" w:rsidR="00BC58DF" w:rsidRDefault="00000000">
            <w:pPr>
              <w:spacing w:line="280" w:lineRule="auto"/>
            </w:pPr>
            <w:r>
              <w:rPr>
                <w:b/>
                <w:bCs/>
                <w:color w:val="0B2447"/>
                <w:sz w:val="20"/>
                <w:szCs w:val="20"/>
              </w:rPr>
              <w:t>Revenue Forecasting</w:t>
            </w:r>
          </w:p>
        </w:tc>
        <w:tc>
          <w:tcPr>
            <w:tcW w:w="180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2E0F96D6" w14:textId="77777777" w:rsidR="00BC58DF" w:rsidRDefault="00000000">
            <w:pPr>
              <w:spacing w:line="280" w:lineRule="auto"/>
            </w:pPr>
            <w:r>
              <w:rPr>
                <w:sz w:val="20"/>
                <w:szCs w:val="20"/>
              </w:rPr>
              <w:t>CFO</w:t>
            </w:r>
          </w:p>
        </w:tc>
        <w:tc>
          <w:tcPr>
            <w:tcW w:w="488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271A5128" w14:textId="77777777" w:rsidR="00BC58DF" w:rsidRDefault="00000000">
            <w:pPr>
              <w:spacing w:line="280" w:lineRule="auto"/>
            </w:pPr>
            <w:r>
              <w:rPr>
                <w:sz w:val="20"/>
                <w:szCs w:val="20"/>
              </w:rPr>
              <w:t>15–20% forecast accuracy lift. Salesforce pipeline + SAP billing + market signals.</w:t>
            </w:r>
          </w:p>
        </w:tc>
      </w:tr>
    </w:tbl>
    <w:p w14:paraId="4B049B81" w14:textId="77777777" w:rsidR="00BC58DF" w:rsidRDefault="00BC58DF">
      <w:pPr>
        <w:spacing w:after="2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C58DF" w14:paraId="5C65EC72" w14:textId="77777777">
        <w:tc>
          <w:tcPr>
            <w:tcW w:w="10080" w:type="dxa"/>
            <w:tcBorders>
              <w:top w:val="none" w:sz="0" w:space="0" w:color="FFFFFF"/>
              <w:left w:val="single" w:sz="24" w:space="0" w:color="0EA5A4"/>
              <w:bottom w:val="none" w:sz="0" w:space="0" w:color="FFFFFF"/>
              <w:right w:val="none" w:sz="0" w:space="0" w:color="FFFFFF"/>
            </w:tcBorders>
            <w:shd w:val="clear" w:color="auto" w:fill="E6F7F6"/>
            <w:tcMar>
              <w:top w:w="200" w:type="dxa"/>
              <w:left w:w="240" w:type="dxa"/>
              <w:bottom w:w="200" w:type="dxa"/>
              <w:right w:w="240" w:type="dxa"/>
            </w:tcMar>
          </w:tcPr>
          <w:p w14:paraId="0ACE9169" w14:textId="77777777" w:rsidR="00BC58DF" w:rsidRDefault="00000000">
            <w:pPr>
              <w:spacing w:after="100" w:line="320" w:lineRule="auto"/>
            </w:pPr>
            <w:r>
              <w:rPr>
                <w:b/>
                <w:bCs/>
                <w:color w:val="0B2447"/>
              </w:rPr>
              <w:t>Why NXπ wins for Salesforce-led enterprises.</w:t>
            </w:r>
          </w:p>
          <w:p w14:paraId="31AD320D" w14:textId="77777777" w:rsidR="00BC58DF" w:rsidRDefault="00000000">
            <w:pPr>
              <w:spacing w:line="300" w:lineRule="auto"/>
            </w:pPr>
            <w:proofErr w:type="spellStart"/>
            <w:r>
              <w:rPr>
                <w:sz w:val="21"/>
                <w:szCs w:val="21"/>
              </w:rPr>
              <w:t>Agentforce</w:t>
            </w:r>
            <w:proofErr w:type="spellEnd"/>
            <w:r>
              <w:rPr>
                <w:sz w:val="21"/>
                <w:szCs w:val="21"/>
              </w:rPr>
              <w:t xml:space="preserve"> assumes you have already chosen the customer graph. NXπ does not require that choice. Your </w:t>
            </w:r>
            <w:proofErr w:type="spellStart"/>
            <w:r>
              <w:rPr>
                <w:sz w:val="21"/>
                <w:szCs w:val="21"/>
              </w:rPr>
              <w:t>Agentforce</w:t>
            </w:r>
            <w:proofErr w:type="spellEnd"/>
            <w:r>
              <w:rPr>
                <w:sz w:val="21"/>
                <w:szCs w:val="21"/>
              </w:rPr>
              <w:t xml:space="preserve"> agents talk to NXπ agents through A2A; your NXπ agents act on Salesforce through MCP. The same governance covers both — with one audit trail, one RBAC model, and one cost ledger.</w:t>
            </w:r>
          </w:p>
        </w:tc>
      </w:tr>
    </w:tbl>
    <w:p w14:paraId="4D2CB571" w14:textId="77777777" w:rsidR="00BC58DF" w:rsidRDefault="00BC58DF">
      <w:pPr>
        <w:spacing w:after="240"/>
      </w:pPr>
    </w:p>
    <w:p w14:paraId="47399CB2" w14:textId="77777777" w:rsidR="00BC58DF" w:rsidRDefault="00000000">
      <w:pPr>
        <w:pStyle w:val="Heading2"/>
        <w:spacing w:line="320" w:lineRule="auto"/>
      </w:pPr>
      <w:r>
        <w:t>NXπ for SAP + Salesforce — the cross-system fusion</w:t>
      </w:r>
    </w:p>
    <w:p w14:paraId="083D410B" w14:textId="77777777" w:rsidR="00BC58DF" w:rsidRDefault="00000000">
      <w:pPr>
        <w:spacing w:after="140" w:line="320" w:lineRule="auto"/>
      </w:pPr>
      <w:r>
        <w:rPr>
          <w:b/>
          <w:bCs/>
          <w:color w:val="0B2447"/>
          <w:sz w:val="24"/>
          <w:szCs w:val="24"/>
        </w:rPr>
        <w:t>The ROI lives in the join.</w:t>
      </w:r>
    </w:p>
    <w:p w14:paraId="30F4F772" w14:textId="77777777" w:rsidR="00BC58DF" w:rsidRDefault="00000000">
      <w:pPr>
        <w:spacing w:after="120" w:line="320" w:lineRule="auto"/>
      </w:pPr>
      <w:r>
        <w:t>Every CXO knows it. The single most valuable AI use case in the enterprise is not inside SAP or inside Salesforce — it is the join between them. Revenue you cannot recognize until the order ships. Pipeline you cannot trust until you reconcile against billing. Customers you cannot retain until support, sales, and operations see the same picture.</w:t>
      </w:r>
    </w:p>
    <w:p w14:paraId="40C5AFF3" w14:textId="77777777" w:rsidR="00BC58DF" w:rsidRDefault="00000000">
      <w:pPr>
        <w:spacing w:after="220" w:line="320" w:lineRule="auto"/>
      </w:pPr>
      <w:r>
        <w:lastRenderedPageBreak/>
        <w:t>NXπ’s SAP + Salesforce Fusion pattern composes an Orchestrator agent that delegates to an SAP Agent (via HANA MCP) and a Salesforce Agent (via REST MCP), then a Merger agent that synthesizes both into a single answer — with full source attribution, governance, and audit.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680"/>
      </w:tblGrid>
      <w:tr w:rsidR="00BC58DF" w14:paraId="6147265A" w14:textId="77777777">
        <w:trPr>
          <w:tblHeader/>
        </w:trPr>
        <w:tc>
          <w:tcPr>
            <w:tcW w:w="3400" w:type="dxa"/>
            <w:tcBorders>
              <w:top w:val="single" w:sz="4" w:space="0" w:color="D1D5DB"/>
              <w:left w:val="single" w:sz="4" w:space="0" w:color="D1D5DB"/>
              <w:bottom w:val="single" w:sz="4" w:space="0" w:color="D1D5DB"/>
              <w:right w:val="single" w:sz="4" w:space="0" w:color="D1D5DB"/>
            </w:tcBorders>
            <w:shd w:val="clear" w:color="auto" w:fill="0B2447"/>
            <w:tcMar>
              <w:top w:w="120" w:type="dxa"/>
              <w:left w:w="160" w:type="dxa"/>
              <w:bottom w:w="120" w:type="dxa"/>
              <w:right w:w="160" w:type="dxa"/>
            </w:tcMar>
          </w:tcPr>
          <w:p w14:paraId="7AFBC774" w14:textId="77777777" w:rsidR="00BC58DF" w:rsidRDefault="00000000">
            <w:r>
              <w:rPr>
                <w:b/>
                <w:bCs/>
                <w:color w:val="FFFFFF"/>
              </w:rPr>
              <w:t>Fusion pattern</w:t>
            </w:r>
          </w:p>
        </w:tc>
        <w:tc>
          <w:tcPr>
            <w:tcW w:w="6680" w:type="dxa"/>
            <w:tcBorders>
              <w:top w:val="single" w:sz="4" w:space="0" w:color="D1D5DB"/>
              <w:left w:val="single" w:sz="4" w:space="0" w:color="D1D5DB"/>
              <w:bottom w:val="single" w:sz="4" w:space="0" w:color="D1D5DB"/>
              <w:right w:val="single" w:sz="4" w:space="0" w:color="D1D5DB"/>
            </w:tcBorders>
            <w:shd w:val="clear" w:color="auto" w:fill="0B2447"/>
            <w:tcMar>
              <w:top w:w="120" w:type="dxa"/>
              <w:left w:w="160" w:type="dxa"/>
              <w:bottom w:w="120" w:type="dxa"/>
              <w:right w:w="160" w:type="dxa"/>
            </w:tcMar>
          </w:tcPr>
          <w:p w14:paraId="281FA69A" w14:textId="77777777" w:rsidR="00BC58DF" w:rsidRDefault="00000000">
            <w:r>
              <w:rPr>
                <w:b/>
                <w:bCs/>
                <w:color w:val="FFFFFF"/>
              </w:rPr>
              <w:t>What it produces</w:t>
            </w:r>
          </w:p>
        </w:tc>
      </w:tr>
      <w:tr w:rsidR="00BC58DF" w14:paraId="66AFD489" w14:textId="77777777">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14:paraId="019744AF" w14:textId="77777777" w:rsidR="00BC58DF" w:rsidRDefault="00000000">
            <w:pPr>
              <w:spacing w:line="280" w:lineRule="auto"/>
            </w:pPr>
            <w:r>
              <w:rPr>
                <w:b/>
                <w:bCs/>
                <w:color w:val="0B2447"/>
                <w:sz w:val="20"/>
                <w:szCs w:val="20"/>
              </w:rPr>
              <w:t>Unified revenue reporting</w:t>
            </w:r>
          </w:p>
        </w:tc>
        <w:tc>
          <w:tcPr>
            <w:tcW w:w="668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233295F6" w14:textId="77777777" w:rsidR="00BC58DF" w:rsidRDefault="00000000">
            <w:pPr>
              <w:spacing w:line="280" w:lineRule="auto"/>
            </w:pPr>
            <w:r>
              <w:rPr>
                <w:sz w:val="20"/>
                <w:szCs w:val="20"/>
              </w:rPr>
              <w:t>SAP billing + Salesforce pipeline → one source of truth for the CFO and CRO together.</w:t>
            </w:r>
          </w:p>
        </w:tc>
      </w:tr>
      <w:tr w:rsidR="00BC58DF" w14:paraId="65D370DA" w14:textId="77777777">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14:paraId="02796CC5" w14:textId="77777777" w:rsidR="00BC58DF" w:rsidRDefault="00000000">
            <w:pPr>
              <w:spacing w:line="280" w:lineRule="auto"/>
            </w:pPr>
            <w:r>
              <w:rPr>
                <w:b/>
                <w:bCs/>
                <w:color w:val="0B2447"/>
                <w:sz w:val="20"/>
                <w:szCs w:val="20"/>
              </w:rPr>
              <w:t>Customer Lifecycle Orchestration</w:t>
            </w:r>
          </w:p>
        </w:tc>
        <w:tc>
          <w:tcPr>
            <w:tcW w:w="668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074E6709" w14:textId="77777777" w:rsidR="00BC58DF" w:rsidRDefault="00000000">
            <w:pPr>
              <w:spacing w:line="280" w:lineRule="auto"/>
            </w:pPr>
            <w:r>
              <w:rPr>
                <w:sz w:val="20"/>
                <w:szCs w:val="20"/>
              </w:rPr>
              <w:t>Salesforce tracks the journey, SAP monitors orders, analytics predicts churn, action agent intervenes.</w:t>
            </w:r>
          </w:p>
        </w:tc>
      </w:tr>
      <w:tr w:rsidR="00BC58DF" w14:paraId="308312EC" w14:textId="77777777">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14:paraId="7B9D4EF2" w14:textId="77777777" w:rsidR="00BC58DF" w:rsidRDefault="00000000">
            <w:pPr>
              <w:spacing w:line="280" w:lineRule="auto"/>
            </w:pPr>
            <w:r>
              <w:rPr>
                <w:b/>
                <w:bCs/>
                <w:color w:val="0B2447"/>
                <w:sz w:val="20"/>
                <w:szCs w:val="20"/>
              </w:rPr>
              <w:t>Executive Briefing Automation</w:t>
            </w:r>
          </w:p>
        </w:tc>
        <w:tc>
          <w:tcPr>
            <w:tcW w:w="668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5CEAA32E" w14:textId="77777777" w:rsidR="00BC58DF" w:rsidRDefault="00000000">
            <w:pPr>
              <w:spacing w:line="280" w:lineRule="auto"/>
            </w:pPr>
            <w:r>
              <w:rPr>
                <w:sz w:val="20"/>
                <w:szCs w:val="20"/>
              </w:rPr>
              <w:t>Research agent gathers from SAP, Salesforce, MongoDB, and the document corpus; synthesis agent writes the brief.</w:t>
            </w:r>
          </w:p>
        </w:tc>
      </w:tr>
      <w:tr w:rsidR="00BC58DF" w14:paraId="24A3FED7" w14:textId="77777777">
        <w:tc>
          <w:tcPr>
            <w:tcW w:w="340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14:paraId="2F79C133" w14:textId="77777777" w:rsidR="00BC58DF" w:rsidRDefault="00000000">
            <w:pPr>
              <w:spacing w:line="280" w:lineRule="auto"/>
            </w:pPr>
            <w:r>
              <w:rPr>
                <w:b/>
                <w:bCs/>
                <w:color w:val="0B2447"/>
                <w:sz w:val="20"/>
                <w:szCs w:val="20"/>
              </w:rPr>
              <w:t>Compliance Sentinel</w:t>
            </w:r>
          </w:p>
        </w:tc>
        <w:tc>
          <w:tcPr>
            <w:tcW w:w="668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6CF596B8" w14:textId="77777777" w:rsidR="00BC58DF" w:rsidRDefault="00000000">
            <w:pPr>
              <w:spacing w:line="280" w:lineRule="auto"/>
            </w:pPr>
            <w:r>
              <w:rPr>
                <w:sz w:val="20"/>
                <w:szCs w:val="20"/>
              </w:rPr>
              <w:t>Continuous monitoring of SOX-relevant transactions across SAP and Salesforce; alerts via webhook.</w:t>
            </w:r>
          </w:p>
        </w:tc>
      </w:tr>
    </w:tbl>
    <w:p w14:paraId="42744A75" w14:textId="77777777" w:rsidR="00BC58DF" w:rsidRDefault="00000000">
      <w:r>
        <w:br w:type="page"/>
      </w:r>
    </w:p>
    <w:p w14:paraId="025947DE" w14:textId="77777777" w:rsidR="00BC58DF" w:rsidRDefault="00000000">
      <w:pPr>
        <w:spacing w:before="240" w:after="80"/>
      </w:pPr>
      <w:r>
        <w:rPr>
          <w:b/>
          <w:bCs/>
          <w:color w:val="0EA5A4"/>
          <w:spacing w:val="40"/>
          <w:sz w:val="18"/>
          <w:szCs w:val="18"/>
        </w:rPr>
        <w:lastRenderedPageBreak/>
        <w:t>SOLUTIONS BY INDUSTRY</w:t>
      </w:r>
    </w:p>
    <w:p w14:paraId="3626CF90" w14:textId="77777777" w:rsidR="00BC58DF" w:rsidRDefault="00000000">
      <w:pPr>
        <w:pStyle w:val="Heading1"/>
        <w:pBdr>
          <w:bottom w:val="single" w:sz="12" w:space="6" w:color="2E75B6"/>
        </w:pBdr>
        <w:spacing w:line="320" w:lineRule="auto"/>
      </w:pPr>
      <w:r>
        <w:t>7. Solutions by Industry</w:t>
      </w:r>
    </w:p>
    <w:p w14:paraId="09F59ED6" w14:textId="77777777" w:rsidR="00BC58DF" w:rsidRDefault="00000000">
      <w:pPr>
        <w:spacing w:after="200" w:line="340" w:lineRule="auto"/>
      </w:pPr>
      <w:r>
        <w:rPr>
          <w:i/>
          <w:iCs/>
        </w:rPr>
        <w:t>Industry pages should lead with the regulatory pressure the buyer is already feeling, then prove that NXπ is the AI platform that lets them say "yes" to AI and "yes" to the regulator.</w:t>
      </w:r>
    </w:p>
    <w:p w14:paraId="2EDB21DA" w14:textId="77777777" w:rsidR="00BC58DF" w:rsidRDefault="00000000">
      <w:pPr>
        <w:pStyle w:val="Heading3"/>
        <w:spacing w:line="300" w:lineRule="auto"/>
      </w:pPr>
      <w:r>
        <w:t>Financial Services</w:t>
      </w:r>
    </w:p>
    <w:p w14:paraId="27AE852F" w14:textId="77777777" w:rsidR="00BC58DF" w:rsidRDefault="00000000">
      <w:pPr>
        <w:spacing w:after="100" w:line="320" w:lineRule="auto"/>
      </w:pPr>
      <w:r>
        <w:rPr>
          <w:b/>
          <w:bCs/>
          <w:color w:val="0B2447"/>
          <w:sz w:val="24"/>
          <w:szCs w:val="24"/>
        </w:rPr>
        <w:t>AI that survives an audit — and a board meeting.</w:t>
      </w:r>
    </w:p>
    <w:p w14:paraId="6D381F82" w14:textId="77777777" w:rsidR="00BC58DF" w:rsidRDefault="00000000">
      <w:pPr>
        <w:spacing w:after="120" w:line="320" w:lineRule="auto"/>
      </w:pPr>
      <w:r>
        <w:t>SOX-aligned change management through workflow version history. RBAC for financial data agents. Continuous compliance monitoring across SAP FI/CO and Salesforce Financial Services Cloud. Per-user MCP access so the trading desk cannot query the credit risk warehouse and vice versa.</w:t>
      </w:r>
    </w:p>
    <w:p w14:paraId="1D1DAA5A" w14:textId="77777777" w:rsidR="00BC58DF" w:rsidRDefault="00000000">
      <w:pPr>
        <w:pStyle w:val="ListParagraph"/>
        <w:numPr>
          <w:ilvl w:val="0"/>
          <w:numId w:val="2"/>
        </w:numPr>
        <w:spacing w:after="80" w:line="300" w:lineRule="auto"/>
      </w:pPr>
      <w:r>
        <w:t xml:space="preserve">Continuous SOX compliance via </w:t>
      </w:r>
      <w:proofErr w:type="spellStart"/>
      <w:r>
        <w:t>cron</w:t>
      </w:r>
      <w:proofErr w:type="spellEnd"/>
      <w:r>
        <w:t>-scheduled audit prep workflows.</w:t>
      </w:r>
    </w:p>
    <w:p w14:paraId="161CF65F" w14:textId="77777777" w:rsidR="00BC58DF" w:rsidRDefault="00000000">
      <w:pPr>
        <w:pStyle w:val="ListParagraph"/>
        <w:numPr>
          <w:ilvl w:val="0"/>
          <w:numId w:val="2"/>
        </w:numPr>
        <w:spacing w:after="80" w:line="300" w:lineRule="auto"/>
      </w:pPr>
      <w:r>
        <w:t>Self-hosted deployment for tier-1 banks with strict data residency.</w:t>
      </w:r>
    </w:p>
    <w:p w14:paraId="70244C69" w14:textId="77777777" w:rsidR="00BC58DF" w:rsidRDefault="00000000">
      <w:pPr>
        <w:pStyle w:val="ListParagraph"/>
        <w:numPr>
          <w:ilvl w:val="0"/>
          <w:numId w:val="2"/>
        </w:numPr>
        <w:spacing w:after="80" w:line="300" w:lineRule="auto"/>
      </w:pPr>
      <w:r>
        <w:t>Token quotas prevent runaway costs on analytical workloads.</w:t>
      </w:r>
    </w:p>
    <w:p w14:paraId="3B94574C" w14:textId="77777777" w:rsidR="00BC58DF" w:rsidRDefault="00BC58DF">
      <w:pPr>
        <w:spacing w:after="160"/>
      </w:pPr>
    </w:p>
    <w:p w14:paraId="44E5E1E4" w14:textId="77777777" w:rsidR="00BC58DF" w:rsidRDefault="00000000">
      <w:pPr>
        <w:pStyle w:val="Heading3"/>
        <w:spacing w:line="300" w:lineRule="auto"/>
      </w:pPr>
      <w:r>
        <w:t>Healthcare &amp; Life Sciences</w:t>
      </w:r>
    </w:p>
    <w:p w14:paraId="4217B528" w14:textId="77777777" w:rsidR="00BC58DF" w:rsidRDefault="00000000">
      <w:pPr>
        <w:spacing w:after="100" w:line="320" w:lineRule="auto"/>
      </w:pPr>
      <w:r>
        <w:rPr>
          <w:b/>
          <w:bCs/>
          <w:color w:val="0B2447"/>
          <w:sz w:val="24"/>
          <w:szCs w:val="24"/>
        </w:rPr>
        <w:t>HIPAA-ready AI that never leaves your perimeter.</w:t>
      </w:r>
    </w:p>
    <w:p w14:paraId="228D8464" w14:textId="77777777" w:rsidR="00BC58DF" w:rsidRDefault="00000000">
      <w:pPr>
        <w:spacing w:after="120" w:line="320" w:lineRule="auto"/>
      </w:pPr>
      <w:r>
        <w:t>PII and PHI detection before LLM injection. Encryption at rest and in transit. Self-hosted Ollama for fully local inference. BAA-ready architecture with comprehensive audit logging that travels with every query.</w:t>
      </w:r>
    </w:p>
    <w:p w14:paraId="2A1CC765" w14:textId="77777777" w:rsidR="00BC58DF" w:rsidRDefault="00000000">
      <w:pPr>
        <w:pStyle w:val="ListParagraph"/>
        <w:numPr>
          <w:ilvl w:val="0"/>
          <w:numId w:val="2"/>
        </w:numPr>
        <w:spacing w:after="80" w:line="300" w:lineRule="auto"/>
      </w:pPr>
      <w:r>
        <w:t>Air-gapped, on-prem deployment with no external LLM calls required.</w:t>
      </w:r>
    </w:p>
    <w:p w14:paraId="2D1A4A14" w14:textId="77777777" w:rsidR="00BC58DF" w:rsidRDefault="00000000">
      <w:pPr>
        <w:pStyle w:val="ListParagraph"/>
        <w:numPr>
          <w:ilvl w:val="0"/>
          <w:numId w:val="2"/>
        </w:numPr>
        <w:spacing w:after="80" w:line="300" w:lineRule="auto"/>
      </w:pPr>
      <w:r>
        <w:t>Field-level data masking applied automatically in RAG context.</w:t>
      </w:r>
    </w:p>
    <w:p w14:paraId="6498B9AE" w14:textId="77777777" w:rsidR="00BC58DF" w:rsidRDefault="00000000">
      <w:pPr>
        <w:pStyle w:val="ListParagraph"/>
        <w:numPr>
          <w:ilvl w:val="0"/>
          <w:numId w:val="2"/>
        </w:numPr>
        <w:spacing w:after="80" w:line="300" w:lineRule="auto"/>
      </w:pPr>
      <w:r>
        <w:t>Per-user access labels mapped to clinical, research, and administrative roles.</w:t>
      </w:r>
    </w:p>
    <w:p w14:paraId="52182EF0" w14:textId="77777777" w:rsidR="00BC58DF" w:rsidRDefault="00BC58DF">
      <w:pPr>
        <w:spacing w:after="160"/>
      </w:pPr>
    </w:p>
    <w:p w14:paraId="04CD8828" w14:textId="77777777" w:rsidR="00BC58DF" w:rsidRDefault="00000000">
      <w:pPr>
        <w:pStyle w:val="Heading3"/>
        <w:spacing w:line="300" w:lineRule="auto"/>
      </w:pPr>
      <w:r>
        <w:t xml:space="preserve">Public Sector &amp; </w:t>
      </w:r>
      <w:proofErr w:type="spellStart"/>
      <w:r>
        <w:t>Defense</w:t>
      </w:r>
      <w:proofErr w:type="spellEnd"/>
    </w:p>
    <w:p w14:paraId="5BED0746" w14:textId="77777777" w:rsidR="00BC58DF" w:rsidRDefault="00000000">
      <w:pPr>
        <w:spacing w:after="100" w:line="320" w:lineRule="auto"/>
      </w:pPr>
      <w:r>
        <w:rPr>
          <w:b/>
          <w:bCs/>
          <w:color w:val="0B2447"/>
          <w:sz w:val="24"/>
          <w:szCs w:val="24"/>
        </w:rPr>
        <w:t>AI sovereignty without the IT compromise.</w:t>
      </w:r>
    </w:p>
    <w:p w14:paraId="2F3CF0BB" w14:textId="77777777" w:rsidR="00BC58DF" w:rsidRDefault="00000000">
      <w:pPr>
        <w:spacing w:after="120" w:line="320" w:lineRule="auto"/>
      </w:pPr>
      <w:r>
        <w:t xml:space="preserve">Customer data </w:t>
      </w:r>
      <w:proofErr w:type="spellStart"/>
      <w:r>
        <w:t>center</w:t>
      </w:r>
      <w:proofErr w:type="spellEnd"/>
      <w:r>
        <w:t xml:space="preserve"> deployment. Local inference. Append-only, integrity-checked audit log. EU AI Act high-risk system controls — built in, not bolted on.</w:t>
      </w:r>
    </w:p>
    <w:p w14:paraId="4FEC09C7" w14:textId="77777777" w:rsidR="00BC58DF" w:rsidRDefault="00000000">
      <w:pPr>
        <w:pStyle w:val="ListParagraph"/>
        <w:numPr>
          <w:ilvl w:val="0"/>
          <w:numId w:val="2"/>
        </w:numPr>
        <w:spacing w:after="80" w:line="300" w:lineRule="auto"/>
      </w:pPr>
      <w:r>
        <w:t>Ollama-only inference mode for fully local operation.</w:t>
      </w:r>
    </w:p>
    <w:p w14:paraId="2D3FFAF3" w14:textId="77777777" w:rsidR="00BC58DF" w:rsidRDefault="00000000">
      <w:pPr>
        <w:pStyle w:val="ListParagraph"/>
        <w:numPr>
          <w:ilvl w:val="0"/>
          <w:numId w:val="2"/>
        </w:numPr>
        <w:spacing w:after="80" w:line="300" w:lineRule="auto"/>
      </w:pPr>
      <w:r>
        <w:t>EU AI Act Article 8–15 evidence collection built into the audit trail.</w:t>
      </w:r>
    </w:p>
    <w:p w14:paraId="0A8B0616" w14:textId="77777777" w:rsidR="00BC58DF" w:rsidRDefault="00000000">
      <w:pPr>
        <w:pStyle w:val="ListParagraph"/>
        <w:numPr>
          <w:ilvl w:val="0"/>
          <w:numId w:val="2"/>
        </w:numPr>
        <w:spacing w:after="80" w:line="300" w:lineRule="auto"/>
      </w:pPr>
      <w:r>
        <w:t>Open MCP standard avoids long-term vendor lock-in for sovereign deployments.</w:t>
      </w:r>
    </w:p>
    <w:p w14:paraId="12752A40" w14:textId="77777777" w:rsidR="00BC58DF" w:rsidRDefault="00BC58DF">
      <w:pPr>
        <w:spacing w:after="160"/>
      </w:pPr>
    </w:p>
    <w:p w14:paraId="33E28BD4" w14:textId="77777777" w:rsidR="00BC58DF" w:rsidRDefault="00000000">
      <w:pPr>
        <w:pStyle w:val="Heading3"/>
        <w:spacing w:line="300" w:lineRule="auto"/>
      </w:pPr>
      <w:r>
        <w:t>Manufacturing &amp; Supply Chain</w:t>
      </w:r>
    </w:p>
    <w:p w14:paraId="151B0ECC" w14:textId="77777777" w:rsidR="00BC58DF" w:rsidRDefault="00000000">
      <w:pPr>
        <w:spacing w:after="100" w:line="320" w:lineRule="auto"/>
      </w:pPr>
      <w:r>
        <w:rPr>
          <w:b/>
          <w:bCs/>
          <w:color w:val="0B2447"/>
          <w:sz w:val="24"/>
          <w:szCs w:val="24"/>
        </w:rPr>
        <w:lastRenderedPageBreak/>
        <w:t>SAP at the core. AI across the chain.</w:t>
      </w:r>
    </w:p>
    <w:p w14:paraId="4A13663A" w14:textId="77777777" w:rsidR="00BC58DF" w:rsidRDefault="00000000">
      <w:pPr>
        <w:spacing w:after="120" w:line="320" w:lineRule="auto"/>
      </w:pPr>
      <w:r>
        <w:t>Real-time SAP PP and MM access through MCP. Stream ingestion from SAP Event Mesh. Multi-agent pipelines that monitor production orders against external risk signals and remediate without a human bottleneck.</w:t>
      </w:r>
    </w:p>
    <w:p w14:paraId="654588CC" w14:textId="77777777" w:rsidR="00BC58DF" w:rsidRDefault="00000000">
      <w:pPr>
        <w:pStyle w:val="ListParagraph"/>
        <w:numPr>
          <w:ilvl w:val="0"/>
          <w:numId w:val="2"/>
        </w:numPr>
        <w:spacing w:after="80" w:line="300" w:lineRule="auto"/>
      </w:pPr>
      <w:r>
        <w:t>Supply chain risk detection in real time versus weekly batch.</w:t>
      </w:r>
    </w:p>
    <w:p w14:paraId="379DF01F" w14:textId="77777777" w:rsidR="00BC58DF" w:rsidRDefault="00000000">
      <w:pPr>
        <w:pStyle w:val="ListParagraph"/>
        <w:numPr>
          <w:ilvl w:val="0"/>
          <w:numId w:val="2"/>
        </w:numPr>
        <w:spacing w:after="80" w:line="300" w:lineRule="auto"/>
      </w:pPr>
      <w:r>
        <w:t>15–25% procurement savings via vendor performance + market analysis.</w:t>
      </w:r>
    </w:p>
    <w:p w14:paraId="4111B253" w14:textId="77777777" w:rsidR="00BC58DF" w:rsidRDefault="00000000">
      <w:pPr>
        <w:pStyle w:val="ListParagraph"/>
        <w:numPr>
          <w:ilvl w:val="0"/>
          <w:numId w:val="2"/>
        </w:numPr>
        <w:spacing w:after="80" w:line="300" w:lineRule="auto"/>
      </w:pPr>
      <w:r>
        <w:t>Cross-source joins between SAP, Salesforce, and IoT streams in a single workflow.</w:t>
      </w:r>
    </w:p>
    <w:p w14:paraId="5EF2E48E" w14:textId="77777777" w:rsidR="00BC58DF" w:rsidRDefault="00BC58DF">
      <w:pPr>
        <w:spacing w:after="160"/>
      </w:pPr>
    </w:p>
    <w:p w14:paraId="27370397" w14:textId="77777777" w:rsidR="00BC58DF" w:rsidRDefault="00000000">
      <w:pPr>
        <w:pStyle w:val="Heading3"/>
        <w:spacing w:line="300" w:lineRule="auto"/>
      </w:pPr>
      <w:r>
        <w:t>Technology &amp; Software</w:t>
      </w:r>
    </w:p>
    <w:p w14:paraId="04916FD5" w14:textId="77777777" w:rsidR="00BC58DF" w:rsidRDefault="00000000">
      <w:pPr>
        <w:spacing w:after="100" w:line="320" w:lineRule="auto"/>
      </w:pPr>
      <w:r>
        <w:rPr>
          <w:b/>
          <w:bCs/>
          <w:color w:val="0B2447"/>
          <w:sz w:val="24"/>
          <w:szCs w:val="24"/>
        </w:rPr>
        <w:t>The AI control plane for the AI-native enterprise.</w:t>
      </w:r>
    </w:p>
    <w:p w14:paraId="5A7BE5CA" w14:textId="77777777" w:rsidR="00BC58DF" w:rsidRDefault="00000000">
      <w:pPr>
        <w:spacing w:after="120" w:line="320" w:lineRule="auto"/>
      </w:pPr>
      <w:r>
        <w:t>Built on the same open standards your engineering team already uses. MCP-native, model-agnostic, exportable. Marketplace publishing for cross-team reuse. AI-assisted agent generation that respects your existing tool allow-listing.</w:t>
      </w:r>
    </w:p>
    <w:p w14:paraId="5E2B650D" w14:textId="77777777" w:rsidR="00BC58DF" w:rsidRDefault="00000000">
      <w:pPr>
        <w:pStyle w:val="ListParagraph"/>
        <w:numPr>
          <w:ilvl w:val="0"/>
          <w:numId w:val="2"/>
        </w:numPr>
        <w:spacing w:after="80" w:line="300" w:lineRule="auto"/>
      </w:pPr>
      <w:r>
        <w:t>Open MCP standard — agents and workflows are portable.</w:t>
      </w:r>
    </w:p>
    <w:p w14:paraId="41D0886D" w14:textId="77777777" w:rsidR="00BC58DF" w:rsidRDefault="00000000">
      <w:pPr>
        <w:pStyle w:val="ListParagraph"/>
        <w:numPr>
          <w:ilvl w:val="0"/>
          <w:numId w:val="2"/>
        </w:numPr>
        <w:spacing w:after="80" w:line="300" w:lineRule="auto"/>
      </w:pPr>
      <w:r>
        <w:t>Marketplace with versioning, ratings, and review workflow.</w:t>
      </w:r>
    </w:p>
    <w:p w14:paraId="780E9C3B" w14:textId="77777777" w:rsidR="00BC58DF" w:rsidRDefault="00000000">
      <w:pPr>
        <w:pStyle w:val="ListParagraph"/>
        <w:numPr>
          <w:ilvl w:val="0"/>
          <w:numId w:val="2"/>
        </w:numPr>
        <w:spacing w:after="80" w:line="300" w:lineRule="auto"/>
      </w:pPr>
      <w:r>
        <w:t>Self-service agent creation by 80% of users; engineering stays unblocked.</w:t>
      </w:r>
    </w:p>
    <w:p w14:paraId="638C6D15" w14:textId="77777777" w:rsidR="00BC58DF" w:rsidRDefault="00BC58DF">
      <w:pPr>
        <w:spacing w:after="160"/>
      </w:pPr>
    </w:p>
    <w:p w14:paraId="1D419CD1" w14:textId="77777777" w:rsidR="00BC58DF" w:rsidRDefault="00000000">
      <w:r>
        <w:br w:type="page"/>
      </w:r>
    </w:p>
    <w:p w14:paraId="7929BDC3" w14:textId="77777777" w:rsidR="00BC58DF" w:rsidRDefault="00000000">
      <w:pPr>
        <w:spacing w:before="240" w:after="80"/>
      </w:pPr>
      <w:r>
        <w:rPr>
          <w:b/>
          <w:bCs/>
          <w:color w:val="0EA5A4"/>
          <w:spacing w:val="40"/>
          <w:sz w:val="18"/>
          <w:szCs w:val="18"/>
        </w:rPr>
        <w:lastRenderedPageBreak/>
        <w:t>COMPETITIVE POSITIONING</w:t>
      </w:r>
    </w:p>
    <w:p w14:paraId="5161D8C0" w14:textId="77777777" w:rsidR="00BC58DF" w:rsidRDefault="00000000">
      <w:pPr>
        <w:pStyle w:val="Heading1"/>
        <w:pBdr>
          <w:bottom w:val="single" w:sz="12" w:space="6" w:color="2E75B6"/>
        </w:pBdr>
        <w:spacing w:line="320" w:lineRule="auto"/>
      </w:pPr>
      <w:r>
        <w:t>8. Competitive Positioning — How NXπ Differs</w:t>
      </w:r>
    </w:p>
    <w:p w14:paraId="31C521C8" w14:textId="77777777" w:rsidR="00BC58DF" w:rsidRDefault="00000000">
      <w:pPr>
        <w:spacing w:after="180" w:line="340" w:lineRule="auto"/>
      </w:pPr>
      <w:r>
        <w:rPr>
          <w:i/>
          <w:iCs/>
        </w:rPr>
        <w:t>A snapshot for your sales enablement, FAQ pages, and analyst briefings. Every line below has been pressure-tested against the public positioning of each competitor in 2026.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5080"/>
      </w:tblGrid>
      <w:tr w:rsidR="00BC58DF" w14:paraId="7A8F9C07" w14:textId="77777777">
        <w:trPr>
          <w:tblHeader/>
        </w:trPr>
        <w:tc>
          <w:tcPr>
            <w:tcW w:w="2000" w:type="dxa"/>
            <w:tcBorders>
              <w:top w:val="single" w:sz="4" w:space="0" w:color="D1D5DB"/>
              <w:left w:val="single" w:sz="4" w:space="0" w:color="D1D5DB"/>
              <w:bottom w:val="single" w:sz="4" w:space="0" w:color="D1D5DB"/>
              <w:right w:val="single" w:sz="4" w:space="0" w:color="D1D5DB"/>
            </w:tcBorders>
            <w:shd w:val="clear" w:color="auto" w:fill="0B2447"/>
            <w:tcMar>
              <w:top w:w="120" w:type="dxa"/>
              <w:left w:w="160" w:type="dxa"/>
              <w:bottom w:w="120" w:type="dxa"/>
              <w:right w:w="160" w:type="dxa"/>
            </w:tcMar>
          </w:tcPr>
          <w:p w14:paraId="72ADBBF0" w14:textId="77777777" w:rsidR="00BC58DF" w:rsidRDefault="00000000">
            <w:r>
              <w:rPr>
                <w:b/>
                <w:bCs/>
                <w:color w:val="FFFFFF"/>
              </w:rPr>
              <w:t>Platform</w:t>
            </w:r>
          </w:p>
        </w:tc>
        <w:tc>
          <w:tcPr>
            <w:tcW w:w="3000" w:type="dxa"/>
            <w:tcBorders>
              <w:top w:val="single" w:sz="4" w:space="0" w:color="D1D5DB"/>
              <w:left w:val="single" w:sz="4" w:space="0" w:color="D1D5DB"/>
              <w:bottom w:val="single" w:sz="4" w:space="0" w:color="D1D5DB"/>
              <w:right w:val="single" w:sz="4" w:space="0" w:color="D1D5DB"/>
            </w:tcBorders>
            <w:shd w:val="clear" w:color="auto" w:fill="0B2447"/>
            <w:tcMar>
              <w:top w:w="120" w:type="dxa"/>
              <w:left w:w="160" w:type="dxa"/>
              <w:bottom w:w="120" w:type="dxa"/>
              <w:right w:w="160" w:type="dxa"/>
            </w:tcMar>
          </w:tcPr>
          <w:p w14:paraId="0E0FCE91" w14:textId="77777777" w:rsidR="00BC58DF" w:rsidRDefault="00000000">
            <w:r>
              <w:rPr>
                <w:b/>
                <w:bCs/>
                <w:color w:val="FFFFFF"/>
              </w:rPr>
              <w:t>Where they shine</w:t>
            </w:r>
          </w:p>
        </w:tc>
        <w:tc>
          <w:tcPr>
            <w:tcW w:w="5080" w:type="dxa"/>
            <w:tcBorders>
              <w:top w:val="single" w:sz="4" w:space="0" w:color="D1D5DB"/>
              <w:left w:val="single" w:sz="4" w:space="0" w:color="D1D5DB"/>
              <w:bottom w:val="single" w:sz="4" w:space="0" w:color="D1D5DB"/>
              <w:right w:val="single" w:sz="4" w:space="0" w:color="D1D5DB"/>
            </w:tcBorders>
            <w:shd w:val="clear" w:color="auto" w:fill="0B2447"/>
            <w:tcMar>
              <w:top w:w="120" w:type="dxa"/>
              <w:left w:w="160" w:type="dxa"/>
              <w:bottom w:w="120" w:type="dxa"/>
              <w:right w:w="160" w:type="dxa"/>
            </w:tcMar>
          </w:tcPr>
          <w:p w14:paraId="0F744534" w14:textId="77777777" w:rsidR="00BC58DF" w:rsidRDefault="00000000">
            <w:r>
              <w:rPr>
                <w:b/>
                <w:bCs/>
                <w:color w:val="FFFFFF"/>
              </w:rPr>
              <w:t>Where NXπ wins</w:t>
            </w:r>
          </w:p>
        </w:tc>
      </w:tr>
      <w:tr w:rsidR="00BC58DF" w14:paraId="2B6EA390" w14:textId="77777777">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14:paraId="7261A4F6" w14:textId="77777777" w:rsidR="00BC58DF" w:rsidRDefault="00000000">
            <w:pPr>
              <w:spacing w:line="280" w:lineRule="auto"/>
            </w:pPr>
            <w:r>
              <w:rPr>
                <w:b/>
                <w:bCs/>
                <w:color w:val="0B2447"/>
                <w:sz w:val="20"/>
                <w:szCs w:val="20"/>
              </w:rPr>
              <w:t>Microsoft Copilot Studio</w:t>
            </w:r>
          </w:p>
        </w:tc>
        <w:tc>
          <w:tcPr>
            <w:tcW w:w="300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27026B47" w14:textId="77777777" w:rsidR="00BC58DF" w:rsidRDefault="00000000">
            <w:pPr>
              <w:spacing w:line="280" w:lineRule="auto"/>
            </w:pPr>
            <w:r>
              <w:rPr>
                <w:sz w:val="20"/>
                <w:szCs w:val="20"/>
              </w:rPr>
              <w:t>Productivity-graph native (M365 + Dataverse). Strong on document and meeting workflows.</w:t>
            </w:r>
          </w:p>
        </w:tc>
        <w:tc>
          <w:tcPr>
            <w:tcW w:w="508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22DA4AA7" w14:textId="77777777" w:rsidR="00BC58DF" w:rsidRDefault="00000000">
            <w:pPr>
              <w:spacing w:line="280" w:lineRule="auto"/>
            </w:pPr>
            <w:r>
              <w:rPr>
                <w:sz w:val="20"/>
                <w:szCs w:val="20"/>
              </w:rPr>
              <w:t>Locked to the Microsoft stack. Limited SAP depth. Connector hops introduce latency and residency questions.</w:t>
            </w:r>
          </w:p>
        </w:tc>
      </w:tr>
      <w:tr w:rsidR="00BC58DF" w14:paraId="35C7F583" w14:textId="77777777">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14:paraId="4E859C4F" w14:textId="77777777" w:rsidR="00BC58DF" w:rsidRDefault="00000000">
            <w:pPr>
              <w:spacing w:line="280" w:lineRule="auto"/>
            </w:pPr>
            <w:r>
              <w:rPr>
                <w:b/>
                <w:bCs/>
                <w:color w:val="0B2447"/>
                <w:sz w:val="20"/>
                <w:szCs w:val="20"/>
              </w:rPr>
              <w:t xml:space="preserve">Salesforce </w:t>
            </w:r>
            <w:proofErr w:type="spellStart"/>
            <w:r>
              <w:rPr>
                <w:b/>
                <w:bCs/>
                <w:color w:val="0B2447"/>
                <w:sz w:val="20"/>
                <w:szCs w:val="20"/>
              </w:rPr>
              <w:t>Agentforce</w:t>
            </w:r>
            <w:proofErr w:type="spellEnd"/>
          </w:p>
        </w:tc>
        <w:tc>
          <w:tcPr>
            <w:tcW w:w="300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76CA6A19" w14:textId="77777777" w:rsidR="00BC58DF" w:rsidRDefault="00000000">
            <w:pPr>
              <w:spacing w:line="280" w:lineRule="auto"/>
            </w:pPr>
            <w:r>
              <w:rPr>
                <w:sz w:val="20"/>
                <w:szCs w:val="20"/>
              </w:rPr>
              <w:t>Customer-graph native (Sales/Service Cloud + Data 360). Now MCP-capable in 2026.</w:t>
            </w:r>
          </w:p>
        </w:tc>
        <w:tc>
          <w:tcPr>
            <w:tcW w:w="508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4E553465" w14:textId="77777777" w:rsidR="00BC58DF" w:rsidRDefault="00000000">
            <w:pPr>
              <w:spacing w:line="280" w:lineRule="auto"/>
            </w:pPr>
            <w:r>
              <w:rPr>
                <w:sz w:val="20"/>
                <w:szCs w:val="20"/>
              </w:rPr>
              <w:t xml:space="preserve">Optimized for Salesforce-resident workflows. NXπ extends </w:t>
            </w:r>
            <w:proofErr w:type="spellStart"/>
            <w:r>
              <w:rPr>
                <w:sz w:val="20"/>
                <w:szCs w:val="20"/>
              </w:rPr>
              <w:t>Agentforce</w:t>
            </w:r>
            <w:proofErr w:type="spellEnd"/>
            <w:r>
              <w:rPr>
                <w:sz w:val="20"/>
                <w:szCs w:val="20"/>
              </w:rPr>
              <w:t xml:space="preserve"> across SAP, databases, and documents under unified governance.</w:t>
            </w:r>
          </w:p>
        </w:tc>
      </w:tr>
      <w:tr w:rsidR="00BC58DF" w14:paraId="48C4E50C" w14:textId="77777777">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14:paraId="53226EDE" w14:textId="77777777" w:rsidR="00BC58DF" w:rsidRDefault="00000000">
            <w:pPr>
              <w:spacing w:line="280" w:lineRule="auto"/>
            </w:pPr>
            <w:r>
              <w:rPr>
                <w:b/>
                <w:bCs/>
                <w:color w:val="0B2447"/>
                <w:sz w:val="20"/>
                <w:szCs w:val="20"/>
              </w:rPr>
              <w:t>Glean</w:t>
            </w:r>
          </w:p>
        </w:tc>
        <w:tc>
          <w:tcPr>
            <w:tcW w:w="300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6B04110A" w14:textId="77777777" w:rsidR="00BC58DF" w:rsidRDefault="00000000">
            <w:pPr>
              <w:spacing w:line="280" w:lineRule="auto"/>
            </w:pPr>
            <w:r>
              <w:rPr>
                <w:sz w:val="20"/>
                <w:szCs w:val="20"/>
              </w:rPr>
              <w:t>Enterprise search and knowledge graph. Model-neutral, 15+ LLMs. Glean Protect Plus governance SKU.</w:t>
            </w:r>
          </w:p>
        </w:tc>
        <w:tc>
          <w:tcPr>
            <w:tcW w:w="508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160E9709" w14:textId="77777777" w:rsidR="00BC58DF" w:rsidRDefault="00000000">
            <w:pPr>
              <w:spacing w:line="280" w:lineRule="auto"/>
            </w:pPr>
            <w:r>
              <w:rPr>
                <w:sz w:val="20"/>
                <w:szCs w:val="20"/>
              </w:rPr>
              <w:t>Optimized for enterprise search. NXπ adds SAP/Salesforce native MCP integration, agent orchestration, workflow automation, and self-hosted deployment.</w:t>
            </w:r>
          </w:p>
        </w:tc>
      </w:tr>
      <w:tr w:rsidR="00BC58DF" w14:paraId="1315115A" w14:textId="77777777">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14:paraId="4493E0B7" w14:textId="77777777" w:rsidR="00BC58DF" w:rsidRDefault="00000000">
            <w:pPr>
              <w:spacing w:line="280" w:lineRule="auto"/>
            </w:pPr>
            <w:r>
              <w:rPr>
                <w:b/>
                <w:bCs/>
                <w:color w:val="0B2447"/>
                <w:sz w:val="20"/>
                <w:szCs w:val="20"/>
              </w:rPr>
              <w:t>Writer.com</w:t>
            </w:r>
          </w:p>
        </w:tc>
        <w:tc>
          <w:tcPr>
            <w:tcW w:w="300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7820A0C6" w14:textId="77777777" w:rsidR="00BC58DF" w:rsidRDefault="00000000">
            <w:pPr>
              <w:spacing w:line="280" w:lineRule="auto"/>
            </w:pPr>
            <w:r>
              <w:rPr>
                <w:sz w:val="20"/>
                <w:szCs w:val="20"/>
              </w:rPr>
              <w:t>Full-stack with proprietary Palmyra LLMs. Knowledge Graph + Agent Skills. SOC 2, GDPR, HIPAA.</w:t>
            </w:r>
          </w:p>
        </w:tc>
        <w:tc>
          <w:tcPr>
            <w:tcW w:w="508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16C4B309" w14:textId="77777777" w:rsidR="00BC58DF" w:rsidRDefault="00000000">
            <w:pPr>
              <w:spacing w:line="280" w:lineRule="auto"/>
            </w:pPr>
            <w:r>
              <w:rPr>
                <w:sz w:val="20"/>
                <w:szCs w:val="20"/>
              </w:rPr>
              <w:t>Tied to Writer’s proprietary models. NXπ is model-agnostic across 10+ providers with open MCP integration.</w:t>
            </w:r>
          </w:p>
        </w:tc>
      </w:tr>
      <w:tr w:rsidR="00BC58DF" w14:paraId="1AC05AD3" w14:textId="77777777">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14:paraId="2A475C33" w14:textId="77777777" w:rsidR="00BC58DF" w:rsidRDefault="00000000">
            <w:pPr>
              <w:spacing w:line="280" w:lineRule="auto"/>
            </w:pPr>
            <w:r>
              <w:rPr>
                <w:b/>
                <w:bCs/>
                <w:color w:val="0B2447"/>
                <w:sz w:val="20"/>
                <w:szCs w:val="20"/>
              </w:rPr>
              <w:t xml:space="preserve">ServiceNow + </w:t>
            </w:r>
            <w:proofErr w:type="spellStart"/>
            <w:r>
              <w:rPr>
                <w:b/>
                <w:bCs/>
                <w:color w:val="0B2447"/>
                <w:sz w:val="20"/>
                <w:szCs w:val="20"/>
              </w:rPr>
              <w:t>Moveworks</w:t>
            </w:r>
            <w:proofErr w:type="spellEnd"/>
          </w:p>
        </w:tc>
        <w:tc>
          <w:tcPr>
            <w:tcW w:w="300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0EA8D457" w14:textId="77777777" w:rsidR="00BC58DF" w:rsidRDefault="00000000">
            <w:pPr>
              <w:spacing w:line="280" w:lineRule="auto"/>
            </w:pPr>
            <w:r>
              <w:rPr>
                <w:sz w:val="20"/>
                <w:szCs w:val="20"/>
              </w:rPr>
              <w:t xml:space="preserve">IT and employee service centric. $2.85B </w:t>
            </w:r>
            <w:proofErr w:type="spellStart"/>
            <w:r>
              <w:rPr>
                <w:sz w:val="20"/>
                <w:szCs w:val="20"/>
              </w:rPr>
              <w:t>Moveworks</w:t>
            </w:r>
            <w:proofErr w:type="spellEnd"/>
            <w:r>
              <w:rPr>
                <w:sz w:val="20"/>
                <w:szCs w:val="20"/>
              </w:rPr>
              <w:t xml:space="preserve"> acquisition completed Dec 2025.</w:t>
            </w:r>
          </w:p>
        </w:tc>
        <w:tc>
          <w:tcPr>
            <w:tcW w:w="508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7DE6CFD7" w14:textId="77777777" w:rsidR="00BC58DF" w:rsidRDefault="00000000">
            <w:pPr>
              <w:spacing w:line="280" w:lineRule="auto"/>
            </w:pPr>
            <w:r>
              <w:rPr>
                <w:sz w:val="20"/>
                <w:szCs w:val="20"/>
              </w:rPr>
              <w:t>Best for IT service workflows. NXπ targets cross-functional CXO outcomes spanning ERP, CRM, and analytics.</w:t>
            </w:r>
          </w:p>
        </w:tc>
      </w:tr>
      <w:tr w:rsidR="00BC58DF" w14:paraId="2D0BEE38" w14:textId="77777777">
        <w:tc>
          <w:tcPr>
            <w:tcW w:w="2000" w:type="dxa"/>
            <w:tcBorders>
              <w:top w:val="single" w:sz="4" w:space="0" w:color="D1D5DB"/>
              <w:left w:val="single" w:sz="4" w:space="0" w:color="D1D5DB"/>
              <w:bottom w:val="single" w:sz="4" w:space="0" w:color="D1D5DB"/>
              <w:right w:val="single" w:sz="4" w:space="0" w:color="D1D5DB"/>
            </w:tcBorders>
            <w:shd w:val="clear" w:color="auto" w:fill="F3F4F6"/>
            <w:tcMar>
              <w:top w:w="120" w:type="dxa"/>
              <w:left w:w="160" w:type="dxa"/>
              <w:bottom w:w="120" w:type="dxa"/>
              <w:right w:w="160" w:type="dxa"/>
            </w:tcMar>
          </w:tcPr>
          <w:p w14:paraId="606923E5" w14:textId="77777777" w:rsidR="00BC58DF" w:rsidRDefault="00000000">
            <w:pPr>
              <w:spacing w:line="280" w:lineRule="auto"/>
            </w:pPr>
            <w:r>
              <w:rPr>
                <w:b/>
                <w:bCs/>
                <w:color w:val="0B2447"/>
                <w:sz w:val="20"/>
                <w:szCs w:val="20"/>
              </w:rPr>
              <w:t>Palantir AIP</w:t>
            </w:r>
          </w:p>
        </w:tc>
        <w:tc>
          <w:tcPr>
            <w:tcW w:w="300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3C9300D4" w14:textId="77777777" w:rsidR="00BC58DF" w:rsidRDefault="00000000">
            <w:pPr>
              <w:spacing w:line="280" w:lineRule="auto"/>
            </w:pPr>
            <w:r>
              <w:rPr>
                <w:sz w:val="20"/>
                <w:szCs w:val="20"/>
              </w:rPr>
              <w:t xml:space="preserve">Ontology-driven. Strong in </w:t>
            </w:r>
            <w:proofErr w:type="spellStart"/>
            <w:r>
              <w:rPr>
                <w:sz w:val="20"/>
                <w:szCs w:val="20"/>
              </w:rPr>
              <w:t>defense</w:t>
            </w:r>
            <w:proofErr w:type="spellEnd"/>
            <w:r>
              <w:rPr>
                <w:sz w:val="20"/>
                <w:szCs w:val="20"/>
              </w:rPr>
              <w:t xml:space="preserve"> and intelligence. Deep, services-heavy deployments.</w:t>
            </w:r>
          </w:p>
        </w:tc>
        <w:tc>
          <w:tcPr>
            <w:tcW w:w="5080" w:type="dxa"/>
            <w:tcBorders>
              <w:top w:val="single" w:sz="4" w:space="0" w:color="D1D5DB"/>
              <w:left w:val="single" w:sz="4" w:space="0" w:color="D1D5DB"/>
              <w:bottom w:val="single" w:sz="4" w:space="0" w:color="D1D5DB"/>
              <w:right w:val="single" w:sz="4" w:space="0" w:color="D1D5DB"/>
            </w:tcBorders>
            <w:tcMar>
              <w:top w:w="120" w:type="dxa"/>
              <w:left w:w="160" w:type="dxa"/>
              <w:bottom w:w="120" w:type="dxa"/>
              <w:right w:w="160" w:type="dxa"/>
            </w:tcMar>
          </w:tcPr>
          <w:p w14:paraId="6E93896C" w14:textId="77777777" w:rsidR="00BC58DF" w:rsidRDefault="00000000">
            <w:pPr>
              <w:spacing w:line="280" w:lineRule="auto"/>
            </w:pPr>
            <w:r>
              <w:rPr>
                <w:sz w:val="20"/>
                <w:szCs w:val="20"/>
              </w:rPr>
              <w:t>NXπ is product-led, self-serve, and exportable — designed for enterprise IT teams, not forward-deployed engineers.</w:t>
            </w:r>
          </w:p>
        </w:tc>
      </w:tr>
    </w:tbl>
    <w:p w14:paraId="3DBEA918" w14:textId="77777777" w:rsidR="00BC58DF" w:rsidRDefault="00BC58DF">
      <w:pPr>
        <w:spacing w:after="280"/>
      </w:pPr>
    </w:p>
    <w:p w14:paraId="5669D3E3" w14:textId="77777777" w:rsidR="00BC58DF" w:rsidRDefault="00000000">
      <w:pPr>
        <w:pStyle w:val="Heading2"/>
        <w:spacing w:line="320" w:lineRule="auto"/>
      </w:pPr>
      <w:r>
        <w:t>The one-line elevator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C58DF" w14:paraId="73E7CF74" w14:textId="77777777">
        <w:tc>
          <w:tcPr>
            <w:tcW w:w="10080" w:type="dxa"/>
            <w:tcBorders>
              <w:top w:val="none" w:sz="0" w:space="0" w:color="FFFFFF"/>
              <w:left w:val="single" w:sz="24" w:space="0" w:color="0EA5A4"/>
              <w:bottom w:val="none" w:sz="0" w:space="0" w:color="FFFFFF"/>
              <w:right w:val="none" w:sz="0" w:space="0" w:color="FFFFFF"/>
            </w:tcBorders>
            <w:shd w:val="clear" w:color="auto" w:fill="E6F7F6"/>
            <w:tcMar>
              <w:top w:w="200" w:type="dxa"/>
              <w:left w:w="240" w:type="dxa"/>
              <w:bottom w:w="200" w:type="dxa"/>
              <w:right w:w="240" w:type="dxa"/>
            </w:tcMar>
          </w:tcPr>
          <w:p w14:paraId="34F280F6" w14:textId="77777777" w:rsidR="00BC58DF" w:rsidRDefault="00000000">
            <w:pPr>
              <w:spacing w:after="100" w:line="320" w:lineRule="auto"/>
            </w:pPr>
            <w:r>
              <w:rPr>
                <w:b/>
                <w:bCs/>
                <w:color w:val="0B2447"/>
              </w:rPr>
              <w:t>NXπ is the only enterprise AI platform that is MCP-native, model-agnostic, self-hostable, and built for SAP + Salesforce as first-class peers — under one governed control plane.</w:t>
            </w:r>
          </w:p>
          <w:p w14:paraId="564A1A82" w14:textId="77777777" w:rsidR="00BC58DF" w:rsidRDefault="00000000">
            <w:pPr>
              <w:spacing w:line="300" w:lineRule="auto"/>
            </w:pPr>
            <w:r>
              <w:rPr>
                <w:sz w:val="21"/>
                <w:szCs w:val="21"/>
              </w:rPr>
              <w:lastRenderedPageBreak/>
              <w:t>Every other platform makes you choose a graph. NXπ does not require the choice. That is the wedge.</w:t>
            </w:r>
          </w:p>
        </w:tc>
      </w:tr>
    </w:tbl>
    <w:p w14:paraId="1F0E9A5E" w14:textId="77777777" w:rsidR="00BC58DF" w:rsidRDefault="00000000">
      <w:r>
        <w:lastRenderedPageBreak/>
        <w:br w:type="page"/>
      </w:r>
    </w:p>
    <w:p w14:paraId="0E44B9FB" w14:textId="77777777" w:rsidR="00BC58DF" w:rsidRDefault="00000000">
      <w:pPr>
        <w:spacing w:before="240" w:after="80"/>
      </w:pPr>
      <w:r>
        <w:rPr>
          <w:b/>
          <w:bCs/>
          <w:color w:val="0EA5A4"/>
          <w:spacing w:val="40"/>
          <w:sz w:val="18"/>
          <w:szCs w:val="18"/>
        </w:rPr>
        <w:lastRenderedPageBreak/>
        <w:t>SHIP NOTES</w:t>
      </w:r>
    </w:p>
    <w:p w14:paraId="7D9F7DA3" w14:textId="77777777" w:rsidR="00BC58DF" w:rsidRDefault="00000000">
      <w:pPr>
        <w:pStyle w:val="Heading1"/>
        <w:pBdr>
          <w:bottom w:val="single" w:sz="12" w:space="6" w:color="2E75B6"/>
        </w:pBdr>
        <w:spacing w:line="320" w:lineRule="auto"/>
      </w:pPr>
      <w:r>
        <w:t>9. Supporting Sections &amp; Shipping Recommendations</w:t>
      </w:r>
    </w:p>
    <w:p w14:paraId="6AA3E3E7" w14:textId="77777777" w:rsidR="00BC58DF" w:rsidRDefault="00000000">
      <w:pPr>
        <w:pStyle w:val="Heading2"/>
        <w:spacing w:line="320" w:lineRule="auto"/>
      </w:pPr>
      <w:r>
        <w:t>Recommended sitemap</w:t>
      </w:r>
    </w:p>
    <w:p w14:paraId="2C6B0157" w14:textId="77777777" w:rsidR="00BC58DF" w:rsidRDefault="00000000">
      <w:pPr>
        <w:pStyle w:val="ListParagraph"/>
        <w:numPr>
          <w:ilvl w:val="0"/>
          <w:numId w:val="3"/>
        </w:numPr>
        <w:spacing w:after="80" w:line="300" w:lineRule="auto"/>
      </w:pPr>
      <w:r>
        <w:t>Home — runs Hero #1 with role-aware sub-CTAs and the six-pillar strip.</w:t>
      </w:r>
    </w:p>
    <w:p w14:paraId="201F3A14" w14:textId="77777777" w:rsidR="00BC58DF" w:rsidRDefault="00000000">
      <w:pPr>
        <w:pStyle w:val="ListParagraph"/>
        <w:numPr>
          <w:ilvl w:val="0"/>
          <w:numId w:val="3"/>
        </w:numPr>
        <w:spacing w:after="80" w:line="300" w:lineRule="auto"/>
      </w:pPr>
      <w:r>
        <w:t>Platform — top-level page that anchors the six pillars; each pillar gets a dedicated sub-page.</w:t>
      </w:r>
    </w:p>
    <w:p w14:paraId="6903D214" w14:textId="77777777" w:rsidR="00BC58DF" w:rsidRDefault="00000000">
      <w:pPr>
        <w:pStyle w:val="ListParagraph"/>
        <w:numPr>
          <w:ilvl w:val="0"/>
          <w:numId w:val="3"/>
        </w:numPr>
        <w:spacing w:after="80" w:line="300" w:lineRule="auto"/>
      </w:pPr>
      <w:r>
        <w:t>Solutions by Role — seven CXO landing pages, each with its own headline, three outcomes, three use cases.</w:t>
      </w:r>
    </w:p>
    <w:p w14:paraId="529F27AD" w14:textId="77777777" w:rsidR="00BC58DF" w:rsidRDefault="00000000">
      <w:pPr>
        <w:pStyle w:val="ListParagraph"/>
        <w:numPr>
          <w:ilvl w:val="0"/>
          <w:numId w:val="3"/>
        </w:numPr>
        <w:spacing w:after="80" w:line="300" w:lineRule="auto"/>
      </w:pPr>
      <w:r>
        <w:t>Solutions by System — NXπ for SAP, NXπ for Salesforce, NXπ for SAP + Salesforce Fusion.</w:t>
      </w:r>
    </w:p>
    <w:p w14:paraId="3EC1EC98" w14:textId="77777777" w:rsidR="00BC58DF" w:rsidRDefault="00000000">
      <w:pPr>
        <w:pStyle w:val="ListParagraph"/>
        <w:numPr>
          <w:ilvl w:val="0"/>
          <w:numId w:val="3"/>
        </w:numPr>
        <w:spacing w:after="80" w:line="300" w:lineRule="auto"/>
      </w:pPr>
      <w:r>
        <w:t>Solutions by Industry — Financial Services, Healthcare, Public Sector, Manufacturing, Technology.</w:t>
      </w:r>
    </w:p>
    <w:p w14:paraId="309E4768" w14:textId="77777777" w:rsidR="00BC58DF" w:rsidRDefault="00000000">
      <w:pPr>
        <w:pStyle w:val="ListParagraph"/>
        <w:numPr>
          <w:ilvl w:val="0"/>
          <w:numId w:val="3"/>
        </w:numPr>
        <w:spacing w:after="80" w:line="300" w:lineRule="auto"/>
      </w:pPr>
      <w:r>
        <w:t xml:space="preserve">Trust </w:t>
      </w:r>
      <w:proofErr w:type="spellStart"/>
      <w:r>
        <w:t>Center</w:t>
      </w:r>
      <w:proofErr w:type="spellEnd"/>
      <w:r>
        <w:t xml:space="preserve"> — security, compliance, audit, deployment models, sub-processors.</w:t>
      </w:r>
    </w:p>
    <w:p w14:paraId="43261F7F" w14:textId="77777777" w:rsidR="00BC58DF" w:rsidRDefault="00000000">
      <w:pPr>
        <w:pStyle w:val="ListParagraph"/>
        <w:numPr>
          <w:ilvl w:val="0"/>
          <w:numId w:val="3"/>
        </w:numPr>
        <w:spacing w:after="80" w:line="300" w:lineRule="auto"/>
      </w:pPr>
      <w:r>
        <w:t>Resources — reference architectures, ROI calculator, EU AI Act guide, MCP primer.</w:t>
      </w:r>
    </w:p>
    <w:p w14:paraId="28932640" w14:textId="77777777" w:rsidR="00BC58DF" w:rsidRDefault="00BC58DF">
      <w:pPr>
        <w:spacing w:after="200"/>
      </w:pPr>
    </w:p>
    <w:p w14:paraId="302F3A4B" w14:textId="77777777" w:rsidR="00BC58DF" w:rsidRDefault="00000000">
      <w:pPr>
        <w:pStyle w:val="Heading2"/>
        <w:spacing w:line="320" w:lineRule="auto"/>
      </w:pPr>
      <w:r>
        <w:t>SEO and search intent priorities</w:t>
      </w:r>
    </w:p>
    <w:p w14:paraId="1EDC2F4E" w14:textId="77777777" w:rsidR="00BC58DF" w:rsidRDefault="00000000">
      <w:pPr>
        <w:pStyle w:val="ListParagraph"/>
        <w:numPr>
          <w:ilvl w:val="0"/>
          <w:numId w:val="2"/>
        </w:numPr>
        <w:spacing w:after="80" w:line="300" w:lineRule="auto"/>
      </w:pPr>
      <w:r>
        <w:t>"enterprise AI platform with SAP and Salesforce integration" — own this term.</w:t>
      </w:r>
    </w:p>
    <w:p w14:paraId="000F97EF" w14:textId="77777777" w:rsidR="00BC58DF" w:rsidRDefault="00000000">
      <w:pPr>
        <w:pStyle w:val="ListParagraph"/>
        <w:numPr>
          <w:ilvl w:val="0"/>
          <w:numId w:val="2"/>
        </w:numPr>
        <w:spacing w:after="80" w:line="300" w:lineRule="auto"/>
      </w:pPr>
      <w:r>
        <w:t>"MCP host" / "MCP-native AI platform" — define and own the category as MCP adoption crosses 78% in enterprises.</w:t>
      </w:r>
    </w:p>
    <w:p w14:paraId="71446212" w14:textId="77777777" w:rsidR="00BC58DF" w:rsidRDefault="00000000">
      <w:pPr>
        <w:pStyle w:val="ListParagraph"/>
        <w:numPr>
          <w:ilvl w:val="0"/>
          <w:numId w:val="2"/>
        </w:numPr>
        <w:spacing w:after="80" w:line="300" w:lineRule="auto"/>
      </w:pPr>
      <w:r>
        <w:t>"self-hosted AI platform for regulated industries" — primary CISO and compliance-officer query.</w:t>
      </w:r>
    </w:p>
    <w:p w14:paraId="677339DC" w14:textId="77777777" w:rsidR="00BC58DF" w:rsidRDefault="00000000">
      <w:pPr>
        <w:pStyle w:val="ListParagraph"/>
        <w:numPr>
          <w:ilvl w:val="0"/>
          <w:numId w:val="2"/>
        </w:numPr>
        <w:spacing w:after="80" w:line="300" w:lineRule="auto"/>
      </w:pPr>
      <w:r>
        <w:t>"EU AI Act compliance AI platform" — high intent through Q3 2026 as the August 2 deadline approaches.</w:t>
      </w:r>
    </w:p>
    <w:p w14:paraId="4A7F94FF" w14:textId="77777777" w:rsidR="00BC58DF" w:rsidRDefault="00000000">
      <w:pPr>
        <w:pStyle w:val="ListParagraph"/>
        <w:numPr>
          <w:ilvl w:val="0"/>
          <w:numId w:val="2"/>
        </w:numPr>
        <w:spacing w:after="80" w:line="300" w:lineRule="auto"/>
      </w:pPr>
      <w:r>
        <w:t>"multi-agent orchestration platform" — high search volume, low brand-led results.</w:t>
      </w:r>
    </w:p>
    <w:p w14:paraId="1B83DFF1" w14:textId="77777777" w:rsidR="00BC58DF" w:rsidRDefault="00BC58DF">
      <w:pPr>
        <w:spacing w:after="200"/>
      </w:pPr>
    </w:p>
    <w:p w14:paraId="2D32EA35" w14:textId="77777777" w:rsidR="00BC58DF" w:rsidRDefault="00000000">
      <w:pPr>
        <w:pStyle w:val="Heading2"/>
        <w:spacing w:line="320" w:lineRule="auto"/>
      </w:pPr>
      <w:r>
        <w:t>Suggested social and analyst snippets</w:t>
      </w:r>
    </w:p>
    <w:p w14:paraId="154FBBF0" w14:textId="77777777" w:rsidR="00BC58DF" w:rsidRDefault="00000000">
      <w:pPr>
        <w:spacing w:after="100" w:line="320" w:lineRule="auto"/>
      </w:pPr>
      <w:r>
        <w:rPr>
          <w:i/>
          <w:iCs/>
        </w:rPr>
        <w:t>Pull-quote candidates for analyst briefings, social, and press kits.</w:t>
      </w:r>
    </w:p>
    <w:p w14:paraId="2EE9A102" w14:textId="77777777" w:rsidR="00BC58DF" w:rsidRDefault="00000000">
      <w:pPr>
        <w:pStyle w:val="ListParagraph"/>
        <w:numPr>
          <w:ilvl w:val="0"/>
          <w:numId w:val="2"/>
        </w:numPr>
        <w:spacing w:after="80" w:line="300" w:lineRule="auto"/>
      </w:pPr>
      <w:r>
        <w:rPr>
          <w:b/>
          <w:bCs/>
          <w:color w:val="0EA5A4"/>
        </w:rPr>
        <w:t>"</w:t>
      </w:r>
      <w:r>
        <w:rPr>
          <w:i/>
          <w:iCs/>
          <w:color w:val="0B2447"/>
        </w:rPr>
        <w:t>NXπ is the only enterprise AI platform that treats SAP and Salesforce as first-class peers under one MCP-native control plane.</w:t>
      </w:r>
      <w:r>
        <w:rPr>
          <w:b/>
          <w:bCs/>
          <w:color w:val="0EA5A4"/>
        </w:rPr>
        <w:t>"</w:t>
      </w:r>
    </w:p>
    <w:p w14:paraId="53D293C1" w14:textId="77777777" w:rsidR="00BC58DF" w:rsidRDefault="00000000">
      <w:pPr>
        <w:pStyle w:val="ListParagraph"/>
        <w:numPr>
          <w:ilvl w:val="0"/>
          <w:numId w:val="2"/>
        </w:numPr>
        <w:spacing w:after="80" w:line="300" w:lineRule="auto"/>
      </w:pPr>
      <w:r>
        <w:rPr>
          <w:b/>
          <w:bCs/>
          <w:color w:val="0EA5A4"/>
        </w:rPr>
        <w:t>"</w:t>
      </w:r>
      <w:r>
        <w:rPr>
          <w:i/>
          <w:iCs/>
          <w:color w:val="0B2447"/>
        </w:rPr>
        <w:t>Every other AI platform makes you choose a graph. NXπ does not require the choice.</w:t>
      </w:r>
      <w:r>
        <w:rPr>
          <w:b/>
          <w:bCs/>
          <w:color w:val="0EA5A4"/>
        </w:rPr>
        <w:t>"</w:t>
      </w:r>
    </w:p>
    <w:p w14:paraId="507B3EA2" w14:textId="77777777" w:rsidR="00BC58DF" w:rsidRDefault="00000000">
      <w:pPr>
        <w:pStyle w:val="ListParagraph"/>
        <w:numPr>
          <w:ilvl w:val="0"/>
          <w:numId w:val="2"/>
        </w:numPr>
        <w:spacing w:after="80" w:line="300" w:lineRule="auto"/>
      </w:pPr>
      <w:r>
        <w:rPr>
          <w:b/>
          <w:bCs/>
          <w:color w:val="0EA5A4"/>
        </w:rPr>
        <w:t>"</w:t>
      </w:r>
      <w:r>
        <w:rPr>
          <w:i/>
          <w:iCs/>
          <w:color w:val="0B2447"/>
        </w:rPr>
        <w:t>AI that survives an audit, a board meeting, and August 2, 2026.</w:t>
      </w:r>
      <w:r>
        <w:rPr>
          <w:b/>
          <w:bCs/>
          <w:color w:val="0EA5A4"/>
        </w:rPr>
        <w:t>"</w:t>
      </w:r>
    </w:p>
    <w:p w14:paraId="231EBFCB" w14:textId="77777777" w:rsidR="00BC58DF" w:rsidRDefault="00000000">
      <w:pPr>
        <w:pStyle w:val="ListParagraph"/>
        <w:numPr>
          <w:ilvl w:val="0"/>
          <w:numId w:val="2"/>
        </w:numPr>
        <w:spacing w:after="80" w:line="300" w:lineRule="auto"/>
      </w:pPr>
      <w:r>
        <w:rPr>
          <w:b/>
          <w:bCs/>
          <w:color w:val="0EA5A4"/>
        </w:rPr>
        <w:lastRenderedPageBreak/>
        <w:t>"</w:t>
      </w:r>
      <w:r>
        <w:rPr>
          <w:i/>
          <w:iCs/>
          <w:color w:val="0B2447"/>
        </w:rPr>
        <w:t>Bring AI to your data. Keep your data where it lives.</w:t>
      </w:r>
      <w:r>
        <w:rPr>
          <w:b/>
          <w:bCs/>
          <w:color w:val="0EA5A4"/>
        </w:rPr>
        <w:t>"</w:t>
      </w:r>
    </w:p>
    <w:p w14:paraId="6DB09AA5" w14:textId="77777777" w:rsidR="00BC58DF" w:rsidRDefault="00BC58DF">
      <w:pPr>
        <w:spacing w:after="280"/>
      </w:pPr>
    </w:p>
    <w:p w14:paraId="2B29AC38" w14:textId="77777777" w:rsidR="00BC58DF" w:rsidRDefault="00000000">
      <w:pPr>
        <w:pStyle w:val="Heading2"/>
        <w:spacing w:line="320" w:lineRule="auto"/>
      </w:pPr>
      <w:r>
        <w:t>Open questions for the marketing review</w:t>
      </w:r>
    </w:p>
    <w:p w14:paraId="78C0B8FB" w14:textId="77777777" w:rsidR="00BC58DF" w:rsidRDefault="00000000">
      <w:pPr>
        <w:pStyle w:val="ListParagraph"/>
        <w:numPr>
          <w:ilvl w:val="0"/>
          <w:numId w:val="2"/>
        </w:numPr>
        <w:spacing w:after="80" w:line="300" w:lineRule="auto"/>
      </w:pPr>
      <w:r>
        <w:t>Final brand pronunciation lock — "NX-pie" or "NX-π" written and "</w:t>
      </w:r>
      <w:proofErr w:type="spellStart"/>
      <w:r>
        <w:t>en</w:t>
      </w:r>
      <w:proofErr w:type="spellEnd"/>
      <w:r>
        <w:t>-ex-pi" spoken?</w:t>
      </w:r>
    </w:p>
    <w:p w14:paraId="148570D1" w14:textId="77777777" w:rsidR="00BC58DF" w:rsidRDefault="00000000">
      <w:pPr>
        <w:pStyle w:val="ListParagraph"/>
        <w:numPr>
          <w:ilvl w:val="0"/>
          <w:numId w:val="2"/>
        </w:numPr>
        <w:spacing w:after="80" w:line="300" w:lineRule="auto"/>
      </w:pPr>
      <w:r>
        <w:t>Trademark and naming clearance on the "AI control plane" category claim.</w:t>
      </w:r>
    </w:p>
    <w:p w14:paraId="5E45D086" w14:textId="77777777" w:rsidR="00BC58DF" w:rsidRDefault="00000000">
      <w:pPr>
        <w:pStyle w:val="ListParagraph"/>
        <w:numPr>
          <w:ilvl w:val="0"/>
          <w:numId w:val="2"/>
        </w:numPr>
        <w:spacing w:after="80" w:line="300" w:lineRule="auto"/>
      </w:pPr>
      <w:r>
        <w:t>Customer reference availability for the SAP + Salesforce Fusion use case on the home page.</w:t>
      </w:r>
    </w:p>
    <w:p w14:paraId="375D9346" w14:textId="77777777" w:rsidR="00BC58DF" w:rsidRDefault="00000000">
      <w:pPr>
        <w:pStyle w:val="ListParagraph"/>
        <w:numPr>
          <w:ilvl w:val="0"/>
          <w:numId w:val="2"/>
        </w:numPr>
        <w:spacing w:after="80" w:line="300" w:lineRule="auto"/>
      </w:pPr>
      <w:r>
        <w:t>Whether to publish the EU AI Act readiness checklist as gated content (lead-gen) or open (category authority).</w:t>
      </w:r>
    </w:p>
    <w:p w14:paraId="1BE7C22B" w14:textId="77777777" w:rsidR="00BC58DF" w:rsidRDefault="00000000">
      <w:pPr>
        <w:pStyle w:val="ListParagraph"/>
        <w:numPr>
          <w:ilvl w:val="0"/>
          <w:numId w:val="2"/>
        </w:numPr>
        <w:spacing w:after="80" w:line="300" w:lineRule="auto"/>
      </w:pPr>
      <w:r>
        <w:t>Whether the Glean comparison page is launched publicly or kept as sales-enablement only.</w:t>
      </w:r>
    </w:p>
    <w:p w14:paraId="2510A804" w14:textId="77777777" w:rsidR="00BC58DF" w:rsidRDefault="00BC58DF">
      <w:pPr>
        <w:spacing w:after="240"/>
      </w:pPr>
    </w:p>
    <w:p w14:paraId="0B0A645E" w14:textId="77777777" w:rsidR="00BC58DF" w:rsidRDefault="00000000">
      <w:pPr>
        <w:pStyle w:val="Heading2"/>
        <w:spacing w:line="320" w:lineRule="auto"/>
      </w:pPr>
      <w:r>
        <w:t>Sources &amp; verifications used in this brief</w:t>
      </w:r>
    </w:p>
    <w:p w14:paraId="28B9257E" w14:textId="77777777" w:rsidR="00BC58DF" w:rsidRDefault="00000000">
      <w:pPr>
        <w:pStyle w:val="ListParagraph"/>
        <w:numPr>
          <w:ilvl w:val="0"/>
          <w:numId w:val="2"/>
        </w:numPr>
        <w:spacing w:after="80" w:line="300" w:lineRule="auto"/>
      </w:pPr>
      <w:r>
        <w:t>Deloitte 2026 TMT Predictions — global agentic AI market $8.5B (2026) → $35B (2030); orchestration could lift to $45B.</w:t>
      </w:r>
    </w:p>
    <w:p w14:paraId="61E02737" w14:textId="77777777" w:rsidR="00BC58DF" w:rsidRDefault="00000000">
      <w:pPr>
        <w:pStyle w:val="ListParagraph"/>
        <w:numPr>
          <w:ilvl w:val="0"/>
          <w:numId w:val="2"/>
        </w:numPr>
        <w:spacing w:after="80" w:line="300" w:lineRule="auto"/>
      </w:pPr>
      <w:r>
        <w:t>Gartner press release (June 25, 2025) — over 40% of agentic AI projects will be cancelled by end of 2027.</w:t>
      </w:r>
    </w:p>
    <w:p w14:paraId="6F4D5E04" w14:textId="77777777" w:rsidR="00BC58DF" w:rsidRDefault="00000000">
      <w:pPr>
        <w:pStyle w:val="ListParagraph"/>
        <w:numPr>
          <w:ilvl w:val="0"/>
          <w:numId w:val="2"/>
        </w:numPr>
        <w:spacing w:after="80" w:line="300" w:lineRule="auto"/>
      </w:pPr>
      <w:r>
        <w:t>European Commission / Holland &amp; Knight / Cloud Security Alliance — EU AI Act high-risk deadline August 2, 2026 remains legally binding.</w:t>
      </w:r>
    </w:p>
    <w:p w14:paraId="061CB505" w14:textId="77777777" w:rsidR="00BC58DF" w:rsidRDefault="00000000">
      <w:pPr>
        <w:pStyle w:val="ListParagraph"/>
        <w:numPr>
          <w:ilvl w:val="0"/>
          <w:numId w:val="2"/>
        </w:numPr>
        <w:spacing w:after="80" w:line="300" w:lineRule="auto"/>
      </w:pPr>
      <w:r>
        <w:t>SAP news.sap.com (May 2026) — Joule Studio enterprise agentic development GA; HANA Cloud MCP support from Q1 2026.</w:t>
      </w:r>
    </w:p>
    <w:p w14:paraId="16593425" w14:textId="77777777" w:rsidR="00BC58DF" w:rsidRDefault="00000000">
      <w:pPr>
        <w:pStyle w:val="ListParagraph"/>
        <w:numPr>
          <w:ilvl w:val="0"/>
          <w:numId w:val="2"/>
        </w:numPr>
        <w:spacing w:after="80" w:line="300" w:lineRule="auto"/>
      </w:pPr>
      <w:r>
        <w:t xml:space="preserve">Salesforce — 18,500+ </w:t>
      </w:r>
      <w:proofErr w:type="spellStart"/>
      <w:r>
        <w:t>Agentforce</w:t>
      </w:r>
      <w:proofErr w:type="spellEnd"/>
      <w:r>
        <w:t xml:space="preserve"> deals; Salesforce hosted MCP servers GA April 2026.</w:t>
      </w:r>
    </w:p>
    <w:p w14:paraId="7732332C" w14:textId="77777777" w:rsidR="00BC58DF" w:rsidRDefault="00000000">
      <w:pPr>
        <w:pStyle w:val="ListParagraph"/>
        <w:numPr>
          <w:ilvl w:val="0"/>
          <w:numId w:val="2"/>
        </w:numPr>
        <w:spacing w:after="80" w:line="300" w:lineRule="auto"/>
      </w:pPr>
      <w:proofErr w:type="spellStart"/>
      <w:r>
        <w:t>CData</w:t>
      </w:r>
      <w:proofErr w:type="spellEnd"/>
      <w:r>
        <w:t xml:space="preserve"> / MCP Foundation / CIO.com — 78% of enterprise AI teams running an MCP-backed agent in production by Q2 2026.</w:t>
      </w:r>
    </w:p>
    <w:p w14:paraId="5BE226FA" w14:textId="77777777" w:rsidR="00BC58DF" w:rsidRDefault="00000000">
      <w:pPr>
        <w:pStyle w:val="ListParagraph"/>
        <w:numPr>
          <w:ilvl w:val="0"/>
          <w:numId w:val="2"/>
        </w:numPr>
        <w:spacing w:after="80" w:line="300" w:lineRule="auto"/>
      </w:pPr>
      <w:r>
        <w:t>Hybrid RAG benchmarks (</w:t>
      </w:r>
      <w:proofErr w:type="spellStart"/>
      <w:r>
        <w:t>Supermemory</w:t>
      </w:r>
      <w:proofErr w:type="spellEnd"/>
      <w:r>
        <w:t xml:space="preserve">, </w:t>
      </w:r>
      <w:proofErr w:type="spellStart"/>
      <w:r>
        <w:t>Superlinked</w:t>
      </w:r>
      <w:proofErr w:type="spellEnd"/>
      <w:r>
        <w:t>, Medium technical literature) — recall@10 jumps from 65–78% (vector-only) to 91%+ with RRF fusion.</w:t>
      </w:r>
    </w:p>
    <w:p w14:paraId="0DFE38BD" w14:textId="77777777" w:rsidR="00BC58DF" w:rsidRDefault="00000000">
      <w:pPr>
        <w:pStyle w:val="ListParagraph"/>
        <w:numPr>
          <w:ilvl w:val="0"/>
          <w:numId w:val="2"/>
        </w:numPr>
        <w:spacing w:after="80" w:line="300" w:lineRule="auto"/>
      </w:pPr>
      <w:r>
        <w:t>Internal — NXπ PRD CXO Strategic Edition, March 25, 2026 (primary source).</w:t>
      </w:r>
    </w:p>
    <w:sectPr w:rsidR="00BC58D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D55AE" w14:textId="77777777" w:rsidR="00B56B11" w:rsidRDefault="00B56B11">
      <w:r>
        <w:separator/>
      </w:r>
    </w:p>
  </w:endnote>
  <w:endnote w:type="continuationSeparator" w:id="0">
    <w:p w14:paraId="04948CF3" w14:textId="77777777" w:rsidR="00B56B11" w:rsidRDefault="00B56B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6E9EF" w14:textId="77777777" w:rsidR="00BC58DF" w:rsidRDefault="00000000">
    <w:pPr>
      <w:pBdr>
        <w:top w:val="single" w:sz="6" w:space="4" w:color="D1D5DB"/>
      </w:pBdr>
      <w:tabs>
        <w:tab w:val="right" w:pos="9026"/>
      </w:tabs>
    </w:pPr>
    <w:r>
      <w:rPr>
        <w:sz w:val="16"/>
        <w:szCs w:val="16"/>
      </w:rPr>
      <w:t>Negentrophi · Confidential — Marketing &amp; Product Use</w:t>
    </w:r>
    <w:r>
      <w:rPr>
        <w:sz w:val="16"/>
        <w:szCs w:val="16"/>
      </w:rPr>
      <w:tab/>
      <w:t xml:space="preserve">Page </w:t>
    </w:r>
    <w:r>
      <w:rPr>
        <w:sz w:val="16"/>
        <w:szCs w:val="16"/>
      </w:rPr>
      <w:fldChar w:fldCharType="begin"/>
    </w:r>
    <w:r>
      <w:rPr>
        <w:sz w:val="16"/>
        <w:szCs w:val="16"/>
      </w:rPr>
      <w:instrText>PAGE</w:instrText>
    </w:r>
    <w:r>
      <w:rPr>
        <w:sz w:val="16"/>
        <w:szCs w:val="16"/>
      </w:rPr>
      <w:fldChar w:fldCharType="separate"/>
    </w:r>
    <w:r w:rsidR="00113B6D">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3205F" w14:textId="77777777" w:rsidR="00B56B11" w:rsidRDefault="00B56B11">
      <w:r>
        <w:separator/>
      </w:r>
    </w:p>
  </w:footnote>
  <w:footnote w:type="continuationSeparator" w:id="0">
    <w:p w14:paraId="0F68EFFE" w14:textId="77777777" w:rsidR="00B56B11" w:rsidRDefault="00B56B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35E1A" w14:textId="77777777" w:rsidR="00BC58DF" w:rsidRDefault="00000000">
    <w:pPr>
      <w:pBdr>
        <w:bottom w:val="single" w:sz="6" w:space="4" w:color="2E75B6"/>
      </w:pBdr>
      <w:tabs>
        <w:tab w:val="right" w:pos="9026"/>
      </w:tabs>
    </w:pPr>
    <w:r>
      <w:rPr>
        <w:b/>
        <w:bCs/>
        <w:color w:val="0B2447"/>
        <w:sz w:val="20"/>
        <w:szCs w:val="20"/>
      </w:rPr>
      <w:t>NXπ</w:t>
    </w:r>
    <w:r>
      <w:rPr>
        <w:sz w:val="18"/>
        <w:szCs w:val="18"/>
      </w:rPr>
      <w:t xml:space="preserve">   Website Copy — Platform &amp; Solutions</w:t>
    </w:r>
    <w:r>
      <w:rPr>
        <w:sz w:val="18"/>
        <w:szCs w:val="18"/>
      </w:rPr>
      <w:tab/>
      <w:t>Draft for Review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75A97"/>
    <w:multiLevelType w:val="hybridMultilevel"/>
    <w:tmpl w:val="39EA2AC8"/>
    <w:lvl w:ilvl="0" w:tplc="9CD06F88">
      <w:start w:val="1"/>
      <w:numFmt w:val="bullet"/>
      <w:lvlText w:val="▸"/>
      <w:lvlJc w:val="left"/>
      <w:pPr>
        <w:ind w:left="540" w:hanging="280"/>
      </w:pPr>
      <w:rPr>
        <w:rFonts w:ascii="Arial" w:eastAsia="Arial" w:hAnsi="Arial" w:cs="Arial"/>
        <w:color w:val="2E75B6"/>
      </w:rPr>
    </w:lvl>
    <w:lvl w:ilvl="1" w:tplc="2F72ACAA">
      <w:numFmt w:val="decimal"/>
      <w:lvlText w:val=""/>
      <w:lvlJc w:val="left"/>
    </w:lvl>
    <w:lvl w:ilvl="2" w:tplc="69020FDC">
      <w:numFmt w:val="decimal"/>
      <w:lvlText w:val=""/>
      <w:lvlJc w:val="left"/>
    </w:lvl>
    <w:lvl w:ilvl="3" w:tplc="DD08F7C2">
      <w:numFmt w:val="decimal"/>
      <w:lvlText w:val=""/>
      <w:lvlJc w:val="left"/>
    </w:lvl>
    <w:lvl w:ilvl="4" w:tplc="6736DA22">
      <w:numFmt w:val="decimal"/>
      <w:lvlText w:val=""/>
      <w:lvlJc w:val="left"/>
    </w:lvl>
    <w:lvl w:ilvl="5" w:tplc="F2FEB31C">
      <w:numFmt w:val="decimal"/>
      <w:lvlText w:val=""/>
      <w:lvlJc w:val="left"/>
    </w:lvl>
    <w:lvl w:ilvl="6" w:tplc="CD98D146">
      <w:numFmt w:val="decimal"/>
      <w:lvlText w:val=""/>
      <w:lvlJc w:val="left"/>
    </w:lvl>
    <w:lvl w:ilvl="7" w:tplc="1D3841C8">
      <w:numFmt w:val="decimal"/>
      <w:lvlText w:val=""/>
      <w:lvlJc w:val="left"/>
    </w:lvl>
    <w:lvl w:ilvl="8" w:tplc="08C25CC0">
      <w:numFmt w:val="decimal"/>
      <w:lvlText w:val=""/>
      <w:lvlJc w:val="left"/>
    </w:lvl>
  </w:abstractNum>
  <w:abstractNum w:abstractNumId="1" w15:restartNumberingAfterBreak="0">
    <w:nsid w:val="2F602BCA"/>
    <w:multiLevelType w:val="hybridMultilevel"/>
    <w:tmpl w:val="2B5A7D52"/>
    <w:lvl w:ilvl="0" w:tplc="1458CFB0">
      <w:start w:val="1"/>
      <w:numFmt w:val="bullet"/>
      <w:lvlText w:val="●"/>
      <w:lvlJc w:val="left"/>
      <w:pPr>
        <w:ind w:left="720" w:hanging="360"/>
      </w:pPr>
    </w:lvl>
    <w:lvl w:ilvl="1" w:tplc="2B48E142">
      <w:start w:val="1"/>
      <w:numFmt w:val="bullet"/>
      <w:lvlText w:val="○"/>
      <w:lvlJc w:val="left"/>
      <w:pPr>
        <w:ind w:left="1440" w:hanging="360"/>
      </w:pPr>
    </w:lvl>
    <w:lvl w:ilvl="2" w:tplc="22CC4E66">
      <w:start w:val="1"/>
      <w:numFmt w:val="bullet"/>
      <w:lvlText w:val="■"/>
      <w:lvlJc w:val="left"/>
      <w:pPr>
        <w:ind w:left="2160" w:hanging="360"/>
      </w:pPr>
    </w:lvl>
    <w:lvl w:ilvl="3" w:tplc="36C6B4C2">
      <w:start w:val="1"/>
      <w:numFmt w:val="bullet"/>
      <w:lvlText w:val="●"/>
      <w:lvlJc w:val="left"/>
      <w:pPr>
        <w:ind w:left="2880" w:hanging="360"/>
      </w:pPr>
    </w:lvl>
    <w:lvl w:ilvl="4" w:tplc="0BB81324">
      <w:start w:val="1"/>
      <w:numFmt w:val="bullet"/>
      <w:lvlText w:val="○"/>
      <w:lvlJc w:val="left"/>
      <w:pPr>
        <w:ind w:left="3600" w:hanging="360"/>
      </w:pPr>
    </w:lvl>
    <w:lvl w:ilvl="5" w:tplc="B226D17C">
      <w:start w:val="1"/>
      <w:numFmt w:val="bullet"/>
      <w:lvlText w:val="■"/>
      <w:lvlJc w:val="left"/>
      <w:pPr>
        <w:ind w:left="4320" w:hanging="360"/>
      </w:pPr>
    </w:lvl>
    <w:lvl w:ilvl="6" w:tplc="13EED2EE">
      <w:start w:val="1"/>
      <w:numFmt w:val="bullet"/>
      <w:lvlText w:val="●"/>
      <w:lvlJc w:val="left"/>
      <w:pPr>
        <w:ind w:left="5040" w:hanging="360"/>
      </w:pPr>
    </w:lvl>
    <w:lvl w:ilvl="7" w:tplc="AFFA7C68">
      <w:start w:val="1"/>
      <w:numFmt w:val="bullet"/>
      <w:lvlText w:val="●"/>
      <w:lvlJc w:val="left"/>
      <w:pPr>
        <w:ind w:left="5760" w:hanging="360"/>
      </w:pPr>
    </w:lvl>
    <w:lvl w:ilvl="8" w:tplc="027A4B84">
      <w:start w:val="1"/>
      <w:numFmt w:val="bullet"/>
      <w:lvlText w:val="●"/>
      <w:lvlJc w:val="left"/>
      <w:pPr>
        <w:ind w:left="6480" w:hanging="360"/>
      </w:pPr>
    </w:lvl>
  </w:abstractNum>
  <w:abstractNum w:abstractNumId="2" w15:restartNumberingAfterBreak="0">
    <w:nsid w:val="73C64939"/>
    <w:multiLevelType w:val="hybridMultilevel"/>
    <w:tmpl w:val="AA0E558C"/>
    <w:lvl w:ilvl="0" w:tplc="519C57EE">
      <w:start w:val="1"/>
      <w:numFmt w:val="decimal"/>
      <w:lvlText w:val="%1."/>
      <w:lvlJc w:val="left"/>
      <w:pPr>
        <w:ind w:left="540" w:hanging="280"/>
      </w:pPr>
      <w:rPr>
        <w:rFonts w:ascii="Arial" w:eastAsia="Arial" w:hAnsi="Arial" w:cs="Arial"/>
        <w:b/>
        <w:bCs/>
        <w:color w:val="0B2447"/>
      </w:rPr>
    </w:lvl>
    <w:lvl w:ilvl="1" w:tplc="A4AAAE9E">
      <w:numFmt w:val="decimal"/>
      <w:lvlText w:val=""/>
      <w:lvlJc w:val="left"/>
    </w:lvl>
    <w:lvl w:ilvl="2" w:tplc="66345E7E">
      <w:numFmt w:val="decimal"/>
      <w:lvlText w:val=""/>
      <w:lvlJc w:val="left"/>
    </w:lvl>
    <w:lvl w:ilvl="3" w:tplc="8AC63FD6">
      <w:numFmt w:val="decimal"/>
      <w:lvlText w:val=""/>
      <w:lvlJc w:val="left"/>
    </w:lvl>
    <w:lvl w:ilvl="4" w:tplc="7B0E3310">
      <w:numFmt w:val="decimal"/>
      <w:lvlText w:val=""/>
      <w:lvlJc w:val="left"/>
    </w:lvl>
    <w:lvl w:ilvl="5" w:tplc="798ED2C4">
      <w:numFmt w:val="decimal"/>
      <w:lvlText w:val=""/>
      <w:lvlJc w:val="left"/>
    </w:lvl>
    <w:lvl w:ilvl="6" w:tplc="4BBCDB90">
      <w:numFmt w:val="decimal"/>
      <w:lvlText w:val=""/>
      <w:lvlJc w:val="left"/>
    </w:lvl>
    <w:lvl w:ilvl="7" w:tplc="B6A68932">
      <w:numFmt w:val="decimal"/>
      <w:lvlText w:val=""/>
      <w:lvlJc w:val="left"/>
    </w:lvl>
    <w:lvl w:ilvl="8" w:tplc="E6C816AC">
      <w:numFmt w:val="decimal"/>
      <w:lvlText w:val=""/>
      <w:lvlJc w:val="left"/>
    </w:lvl>
  </w:abstractNum>
  <w:num w:numId="1" w16cid:durableId="2139373352">
    <w:abstractNumId w:val="1"/>
    <w:lvlOverride w:ilvl="0">
      <w:startOverride w:val="1"/>
    </w:lvlOverride>
  </w:num>
  <w:num w:numId="2" w16cid:durableId="1037316422">
    <w:abstractNumId w:val="0"/>
    <w:lvlOverride w:ilvl="0">
      <w:startOverride w:val="1"/>
    </w:lvlOverride>
  </w:num>
  <w:num w:numId="3" w16cid:durableId="16896034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8DF"/>
    <w:rsid w:val="00113B6D"/>
    <w:rsid w:val="006164EF"/>
    <w:rsid w:val="008B3609"/>
    <w:rsid w:val="00B56B11"/>
    <w:rsid w:val="00BC58DF"/>
    <w:rsid w:val="00C812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C5284F2"/>
  <w15:docId w15:val="{2A4BC4AC-38E2-F741-AFD3-5DE09C17F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B5563"/>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B2447"/>
      <w:sz w:val="44"/>
      <w:szCs w:val="44"/>
    </w:rPr>
  </w:style>
  <w:style w:type="paragraph" w:styleId="Heading2">
    <w:name w:val="heading 2"/>
    <w:uiPriority w:val="9"/>
    <w:unhideWhenUsed/>
    <w:qFormat/>
    <w:pPr>
      <w:spacing w:before="300" w:after="140"/>
      <w:outlineLvl w:val="1"/>
    </w:pPr>
    <w:rPr>
      <w:b/>
      <w:bCs/>
      <w:color w:val="0B2447"/>
      <w:sz w:val="32"/>
      <w:szCs w:val="32"/>
    </w:rPr>
  </w:style>
  <w:style w:type="paragraph" w:styleId="Heading3">
    <w:name w:val="heading 3"/>
    <w:uiPriority w:val="9"/>
    <w:unhideWhenUsed/>
    <w:qFormat/>
    <w:pPr>
      <w:spacing w:before="220" w:after="10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4268</Words>
  <Characters>24330</Characters>
  <Application>Microsoft Office Word</Application>
  <DocSecurity>0</DocSecurity>
  <Lines>202</Lines>
  <Paragraphs>57</Paragraphs>
  <ScaleCrop>false</ScaleCrop>
  <Company/>
  <LinksUpToDate>false</LinksUpToDate>
  <CharactersWithSpaces>28541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NXπ Website Copy — Platform &amp; Solutions</dc:title>
  <dc:creator>Negentrophi · NXπ</dc:creator>
  <dc:description>Website content brief covering Platform and Solutions sections, derived from the NXπ PRD CXO Strategic Edition.</dc:description>
  <cp:lastModifiedBy>Lalatendu Panigrahi</cp:lastModifiedBy>
  <cp:revision>3</cp:revision>
  <dcterms:created xsi:type="dcterms:W3CDTF">2026-05-14T15:00:00Z</dcterms:created>
  <dcterms:modified xsi:type="dcterms:W3CDTF">2026-05-14T15:36:00Z</dcterms:modified>
</cp:coreProperties>
</file>