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14D0" w:rsidRPr="00B22FA0" w:rsidRDefault="00000000">
      <w:pPr>
        <w:jc w:val="center"/>
        <w:rPr>
          <w:rFonts w:ascii="Aptos" w:hAnsi="Aptos" w:cs="Arial"/>
        </w:rPr>
      </w:pPr>
      <w:r w:rsidRPr="00B22FA0">
        <w:rPr>
          <w:rFonts w:ascii="Aptos" w:hAnsi="Aptos" w:cs="Arial"/>
          <w:b/>
          <w:sz w:val="40"/>
        </w:rPr>
        <w:t>NXπ Execution Plan — Finance-First Focus</w:t>
      </w:r>
    </w:p>
    <w:p w:rsidR="002D14D0" w:rsidRPr="0054533E" w:rsidRDefault="00000000" w:rsidP="0054533E">
      <w:pPr>
        <w:jc w:val="center"/>
        <w:rPr>
          <w:rFonts w:ascii="Aptos" w:hAnsi="Aptos" w:cs="Arial"/>
          <w:b/>
          <w:bCs/>
        </w:rPr>
      </w:pPr>
      <w:r w:rsidRPr="0054533E">
        <w:rPr>
          <w:rFonts w:ascii="Aptos" w:hAnsi="Aptos" w:cs="Arial"/>
          <w:b/>
          <w:bCs/>
        </w:rPr>
        <w:t>Grounded in Finance-First GTM</w:t>
      </w:r>
      <w:r w:rsidRPr="0054533E">
        <w:rPr>
          <w:rFonts w:ascii="Aptos" w:hAnsi="Aptos" w:cs="Arial"/>
          <w:b/>
          <w:bCs/>
        </w:rPr>
        <w:br/>
      </w:r>
    </w:p>
    <w:p w:rsidR="002D14D0" w:rsidRPr="00BB0151" w:rsidRDefault="00865EB0">
      <w:pPr>
        <w:pStyle w:val="Heading1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>A</w:t>
      </w:r>
      <w:r w:rsidR="00000000" w:rsidRPr="00BB0151">
        <w:rPr>
          <w:rFonts w:ascii="Aptos" w:hAnsi="Aptos" w:cs="Arial"/>
          <w:sz w:val="24"/>
          <w:szCs w:val="24"/>
        </w:rPr>
        <w:t>. Priority Use Cases</w:t>
      </w:r>
    </w:p>
    <w:p w:rsidR="002D14D0" w:rsidRPr="00865EB0" w:rsidRDefault="00000000">
      <w:pPr>
        <w:pStyle w:val="ListBullet"/>
        <w:rPr>
          <w:rFonts w:ascii="Aptos" w:hAnsi="Aptos" w:cs="Arial"/>
        </w:rPr>
      </w:pPr>
      <w:r w:rsidRPr="00865EB0">
        <w:rPr>
          <w:rFonts w:ascii="Aptos" w:hAnsi="Aptos" w:cs="Arial"/>
        </w:rPr>
        <w:t>Margin Analysis</w:t>
      </w:r>
    </w:p>
    <w:p w:rsidR="002D14D0" w:rsidRPr="00865EB0" w:rsidRDefault="00000000">
      <w:pPr>
        <w:pStyle w:val="ListBullet"/>
        <w:rPr>
          <w:rFonts w:ascii="Aptos" w:hAnsi="Aptos" w:cs="Arial"/>
        </w:rPr>
      </w:pPr>
      <w:r w:rsidRPr="00865EB0">
        <w:rPr>
          <w:rFonts w:ascii="Aptos" w:hAnsi="Aptos" w:cs="Arial"/>
        </w:rPr>
        <w:t>Variance Analysis</w:t>
      </w:r>
    </w:p>
    <w:p w:rsidR="002D14D0" w:rsidRPr="00865EB0" w:rsidRDefault="00000000">
      <w:pPr>
        <w:pStyle w:val="ListBullet"/>
        <w:rPr>
          <w:rFonts w:ascii="Aptos" w:hAnsi="Aptos" w:cs="Arial"/>
        </w:rPr>
      </w:pPr>
      <w:r w:rsidRPr="00865EB0">
        <w:rPr>
          <w:rFonts w:ascii="Aptos" w:hAnsi="Aptos" w:cs="Arial"/>
        </w:rPr>
        <w:t>Financial Reconciliation</w:t>
      </w:r>
    </w:p>
    <w:p w:rsidR="002D14D0" w:rsidRPr="00865EB0" w:rsidRDefault="00000000">
      <w:pPr>
        <w:pStyle w:val="ListBullet"/>
        <w:rPr>
          <w:rFonts w:ascii="Aptos" w:hAnsi="Aptos" w:cs="Arial"/>
        </w:rPr>
      </w:pPr>
      <w:r w:rsidRPr="00865EB0">
        <w:rPr>
          <w:rFonts w:ascii="Aptos" w:hAnsi="Aptos" w:cs="Arial"/>
        </w:rPr>
        <w:t>Tax / Compliance (e.g., TDS)</w:t>
      </w:r>
    </w:p>
    <w:p w:rsidR="002D14D0" w:rsidRPr="00865EB0" w:rsidRDefault="00000000">
      <w:pPr>
        <w:pStyle w:val="ListBullet"/>
        <w:rPr>
          <w:rFonts w:ascii="Aptos" w:hAnsi="Aptos" w:cs="Arial"/>
        </w:rPr>
      </w:pPr>
      <w:r w:rsidRPr="00865EB0">
        <w:rPr>
          <w:rFonts w:ascii="Aptos" w:hAnsi="Aptos" w:cs="Arial"/>
        </w:rPr>
        <w:t>Working Capital Insights</w:t>
      </w:r>
    </w:p>
    <w:p w:rsidR="002D14D0" w:rsidRPr="00865EB0" w:rsidRDefault="00000000">
      <w:pPr>
        <w:pStyle w:val="ListBullet"/>
        <w:rPr>
          <w:rFonts w:ascii="Aptos" w:hAnsi="Aptos" w:cs="Arial"/>
        </w:rPr>
      </w:pPr>
      <w:r w:rsidRPr="00865EB0">
        <w:rPr>
          <w:rFonts w:ascii="Aptos" w:hAnsi="Aptos" w:cs="Arial"/>
        </w:rPr>
        <w:t>Scenario / What-if Analysis</w:t>
      </w:r>
    </w:p>
    <w:p w:rsidR="002D14D0" w:rsidRPr="00865EB0" w:rsidRDefault="00000000">
      <w:pPr>
        <w:pStyle w:val="ListBullet"/>
        <w:rPr>
          <w:rFonts w:ascii="Aptos" w:hAnsi="Aptos" w:cs="Arial"/>
        </w:rPr>
      </w:pPr>
      <w:r w:rsidRPr="00865EB0">
        <w:rPr>
          <w:rFonts w:ascii="Aptos" w:hAnsi="Aptos" w:cs="Arial"/>
        </w:rPr>
        <w:t>Pricing Impact Simulation</w:t>
      </w:r>
    </w:p>
    <w:p w:rsidR="00865EB0" w:rsidRPr="00BB0151" w:rsidRDefault="00865EB0" w:rsidP="00865EB0">
      <w:pPr>
        <w:pStyle w:val="Heading1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>B</w:t>
      </w:r>
      <w:r w:rsidRPr="00BB0151">
        <w:rPr>
          <w:rFonts w:ascii="Aptos" w:hAnsi="Aptos" w:cs="Arial"/>
          <w:sz w:val="24"/>
          <w:szCs w:val="24"/>
        </w:rPr>
        <w:t>. Customer Acquisition Plan</w:t>
      </w:r>
    </w:p>
    <w:p w:rsidR="00865EB0" w:rsidRPr="00865EB0" w:rsidRDefault="00865EB0" w:rsidP="00865EB0">
      <w:pPr>
        <w:pStyle w:val="ListBullet"/>
        <w:rPr>
          <w:rFonts w:ascii="Aptos" w:hAnsi="Aptos" w:cs="Arial"/>
        </w:rPr>
      </w:pPr>
      <w:r w:rsidRPr="00865EB0">
        <w:rPr>
          <w:rFonts w:ascii="Aptos" w:hAnsi="Aptos" w:cs="Arial"/>
        </w:rPr>
        <w:t>Leverage existing SAP ecosystem relationships</w:t>
      </w:r>
    </w:p>
    <w:p w:rsidR="00865EB0" w:rsidRPr="00865EB0" w:rsidRDefault="00865EB0" w:rsidP="00865EB0">
      <w:pPr>
        <w:pStyle w:val="ListBullet"/>
        <w:rPr>
          <w:rFonts w:ascii="Aptos" w:hAnsi="Aptos" w:cs="Arial"/>
        </w:rPr>
      </w:pPr>
      <w:r w:rsidRPr="00865EB0">
        <w:rPr>
          <w:rFonts w:ascii="Aptos" w:hAnsi="Aptos" w:cs="Arial"/>
        </w:rPr>
        <w:t>Target India and Middle East markets initially</w:t>
      </w:r>
    </w:p>
    <w:p w:rsidR="00865EB0" w:rsidRPr="00865EB0" w:rsidRDefault="00865EB0" w:rsidP="00865EB0">
      <w:pPr>
        <w:pStyle w:val="ListBullet"/>
        <w:rPr>
          <w:rFonts w:ascii="Aptos" w:hAnsi="Aptos" w:cs="Arial"/>
        </w:rPr>
      </w:pPr>
      <w:r w:rsidRPr="00865EB0">
        <w:rPr>
          <w:rFonts w:ascii="Aptos" w:hAnsi="Aptos" w:cs="Arial"/>
        </w:rPr>
        <w:t>Focus on design partners and early adopters</w:t>
      </w:r>
    </w:p>
    <w:p w:rsidR="00865EB0" w:rsidRPr="00865EB0" w:rsidRDefault="00865EB0" w:rsidP="00865EB0">
      <w:pPr>
        <w:pStyle w:val="ListBullet"/>
        <w:rPr>
          <w:rFonts w:ascii="Aptos" w:hAnsi="Aptos" w:cs="Arial"/>
        </w:rPr>
      </w:pPr>
      <w:r w:rsidRPr="00865EB0">
        <w:rPr>
          <w:rFonts w:ascii="Aptos" w:hAnsi="Aptos" w:cs="Arial"/>
        </w:rPr>
        <w:t>Aim to reach $1M ARR milestone</w:t>
      </w:r>
    </w:p>
    <w:p w:rsidR="00865EB0" w:rsidRPr="00B22FA0" w:rsidRDefault="00865EB0" w:rsidP="00865EB0">
      <w:pPr>
        <w:pStyle w:val="Heading1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>C</w:t>
      </w:r>
      <w:r w:rsidRPr="00B22FA0">
        <w:rPr>
          <w:rFonts w:ascii="Aptos" w:hAnsi="Aptos" w:cs="Arial"/>
          <w:sz w:val="24"/>
          <w:szCs w:val="24"/>
        </w:rPr>
        <w:t>. CFO Engagement Strategy (Anchor GTM Motion)</w:t>
      </w:r>
    </w:p>
    <w:p w:rsidR="00865EB0" w:rsidRPr="00B22FA0" w:rsidRDefault="00865EB0" w:rsidP="00865EB0">
      <w:pPr>
        <w:rPr>
          <w:rFonts w:ascii="Aptos" w:hAnsi="Aptos" w:cs="Arial"/>
        </w:rPr>
      </w:pPr>
      <w:r w:rsidRPr="00B22FA0">
        <w:rPr>
          <w:rFonts w:ascii="Aptos" w:hAnsi="Aptos" w:cs="Arial"/>
        </w:rPr>
        <w:t>To accelerate early traction and validate our finance-first positioning, we are initiating a high-touch, curated CFO engagement series.</w:t>
      </w:r>
    </w:p>
    <w:p w:rsidR="00865EB0" w:rsidRPr="00B22FA0" w:rsidRDefault="00865EB0" w:rsidP="00865EB0">
      <w:pPr>
        <w:pStyle w:val="Heading2"/>
        <w:rPr>
          <w:rFonts w:ascii="Aptos" w:hAnsi="Aptos" w:cs="Arial"/>
          <w:sz w:val="22"/>
          <w:szCs w:val="22"/>
        </w:rPr>
      </w:pPr>
      <w:r w:rsidRPr="00B22FA0">
        <w:rPr>
          <w:rFonts w:ascii="Aptos" w:hAnsi="Aptos" w:cs="Arial"/>
          <w:sz w:val="22"/>
          <w:szCs w:val="22"/>
        </w:rPr>
        <w:t>CFO Breakfast Roundtables</w:t>
      </w:r>
    </w:p>
    <w:p w:rsidR="00865EB0" w:rsidRPr="00B22FA0" w:rsidRDefault="00865EB0" w:rsidP="00865EB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Delhi — 10th April (Pilot)</w:t>
      </w:r>
    </w:p>
    <w:p w:rsidR="00865EB0" w:rsidRPr="00B22FA0" w:rsidRDefault="00865EB0" w:rsidP="00865EB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Followed by: Mumbai, Pune, Bangalore</w:t>
      </w:r>
    </w:p>
    <w:p w:rsidR="00865EB0" w:rsidRPr="00B22FA0" w:rsidRDefault="00865EB0" w:rsidP="00865EB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~10 CFOs per session (invite-only)</w:t>
      </w:r>
    </w:p>
    <w:p w:rsidR="00865EB0" w:rsidRPr="00B22FA0" w:rsidRDefault="00865EB0" w:rsidP="00865EB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2-hour focused morning discussion</w:t>
      </w:r>
    </w:p>
    <w:p w:rsidR="00865EB0" w:rsidRPr="00B22FA0" w:rsidRDefault="00865EB0" w:rsidP="00865EB0">
      <w:pPr>
        <w:pStyle w:val="Heading2"/>
        <w:rPr>
          <w:rFonts w:ascii="Aptos" w:hAnsi="Aptos" w:cs="Arial"/>
          <w:sz w:val="22"/>
          <w:szCs w:val="22"/>
        </w:rPr>
      </w:pPr>
      <w:r w:rsidRPr="00B22FA0">
        <w:rPr>
          <w:rFonts w:ascii="Aptos" w:hAnsi="Aptos" w:cs="Arial"/>
          <w:sz w:val="22"/>
          <w:szCs w:val="22"/>
        </w:rPr>
        <w:t>Objectives</w:t>
      </w:r>
    </w:p>
    <w:p w:rsidR="00865EB0" w:rsidRPr="00B22FA0" w:rsidRDefault="00865EB0" w:rsidP="00865EB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Validate real finance pain points</w:t>
      </w:r>
    </w:p>
    <w:p w:rsidR="00865EB0" w:rsidRPr="00B22FA0" w:rsidRDefault="00865EB0" w:rsidP="00865EB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Refine use-case narrative</w:t>
      </w:r>
    </w:p>
    <w:p w:rsidR="00865EB0" w:rsidRPr="00B22FA0" w:rsidRDefault="00865EB0" w:rsidP="00865EB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Co-create solution direction with CFOs</w:t>
      </w:r>
    </w:p>
    <w:p w:rsidR="00865EB0" w:rsidRPr="00B22FA0" w:rsidRDefault="00865EB0" w:rsidP="00865EB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Identify design partners</w:t>
      </w:r>
    </w:p>
    <w:p w:rsidR="00865EB0" w:rsidRPr="00B22FA0" w:rsidRDefault="00865EB0" w:rsidP="00865EB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Build CFO-level trust</w:t>
      </w:r>
    </w:p>
    <w:p w:rsidR="00865EB0" w:rsidRPr="00B22FA0" w:rsidRDefault="00865EB0" w:rsidP="00865EB0">
      <w:pPr>
        <w:pStyle w:val="Heading2"/>
        <w:rPr>
          <w:rFonts w:ascii="Aptos" w:hAnsi="Aptos" w:cs="Arial"/>
          <w:sz w:val="22"/>
          <w:szCs w:val="22"/>
        </w:rPr>
      </w:pPr>
      <w:r w:rsidRPr="00B22FA0">
        <w:rPr>
          <w:rFonts w:ascii="Aptos" w:hAnsi="Aptos" w:cs="Arial"/>
          <w:sz w:val="22"/>
          <w:szCs w:val="22"/>
        </w:rPr>
        <w:t>Session Structure</w:t>
      </w:r>
    </w:p>
    <w:p w:rsidR="00865EB0" w:rsidRPr="00B22FA0" w:rsidRDefault="00865EB0" w:rsidP="00865EB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Context setting: current challenges in financial decision-making</w:t>
      </w:r>
    </w:p>
    <w:p w:rsidR="00865EB0" w:rsidRPr="00B22FA0" w:rsidRDefault="00865EB0" w:rsidP="00865EB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lastRenderedPageBreak/>
        <w:t>Problem-led discussion (margin, variance, compliance, scenarios)</w:t>
      </w:r>
    </w:p>
    <w:p w:rsidR="00865EB0" w:rsidRPr="00B22FA0" w:rsidRDefault="00865EB0" w:rsidP="00865EB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Light introduction of NXπ</w:t>
      </w:r>
    </w:p>
    <w:p w:rsidR="00865EB0" w:rsidRPr="00B22FA0" w:rsidRDefault="00865EB0" w:rsidP="00865EB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Interactive exploration of real CFO queries</w:t>
      </w:r>
    </w:p>
    <w:p w:rsidR="00865EB0" w:rsidRPr="00B22FA0" w:rsidRDefault="00865EB0" w:rsidP="00865EB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Identify interested design partners</w:t>
      </w:r>
    </w:p>
    <w:p w:rsidR="00865EB0" w:rsidRPr="00B22FA0" w:rsidRDefault="00865EB0" w:rsidP="00865EB0">
      <w:pPr>
        <w:pStyle w:val="Heading2"/>
        <w:rPr>
          <w:rFonts w:ascii="Aptos" w:hAnsi="Aptos" w:cs="Arial"/>
          <w:sz w:val="22"/>
          <w:szCs w:val="22"/>
        </w:rPr>
      </w:pPr>
      <w:r w:rsidRPr="00B22FA0">
        <w:rPr>
          <w:rFonts w:ascii="Aptos" w:hAnsi="Aptos" w:cs="Arial"/>
          <w:sz w:val="22"/>
          <w:szCs w:val="22"/>
        </w:rPr>
        <w:t>Expected Outcomes</w:t>
      </w:r>
    </w:p>
    <w:p w:rsidR="00865EB0" w:rsidRPr="00B22FA0" w:rsidRDefault="00865EB0" w:rsidP="00865EB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5–7 validated use cases</w:t>
      </w:r>
    </w:p>
    <w:p w:rsidR="00865EB0" w:rsidRPr="00B22FA0" w:rsidRDefault="00865EB0" w:rsidP="00865EB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3–5 design partners</w:t>
      </w:r>
    </w:p>
    <w:p w:rsidR="00865EB0" w:rsidRPr="00B22FA0" w:rsidRDefault="00865EB0" w:rsidP="00865EB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Sharper messaging from real CFO language</w:t>
      </w:r>
    </w:p>
    <w:p w:rsidR="00865EB0" w:rsidRPr="00B22FA0" w:rsidRDefault="00865EB0" w:rsidP="00865EB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Top-down entry into organizations</w:t>
      </w:r>
    </w:p>
    <w:p w:rsidR="00865EB0" w:rsidRPr="00B22FA0" w:rsidRDefault="00865EB0" w:rsidP="00865EB0">
      <w:pPr>
        <w:rPr>
          <w:rFonts w:ascii="Aptos" w:hAnsi="Aptos" w:cs="Arial"/>
        </w:rPr>
      </w:pPr>
      <w:r w:rsidRPr="00B22FA0">
        <w:rPr>
          <w:rFonts w:ascii="Aptos" w:hAnsi="Aptos" w:cs="Arial"/>
        </w:rPr>
        <w:t>We are not starting with a product push. We are starting with a conversation at the CFO table.</w:t>
      </w:r>
    </w:p>
    <w:p w:rsidR="00865EB0" w:rsidRDefault="00865EB0">
      <w:pPr>
        <w:pStyle w:val="Heading1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>-----------------------------------------------------------------------------------------------------</w:t>
      </w:r>
    </w:p>
    <w:p w:rsidR="00865EB0" w:rsidRPr="00B22FA0" w:rsidRDefault="00865EB0" w:rsidP="00865EB0">
      <w:pPr>
        <w:pStyle w:val="Heading1"/>
        <w:rPr>
          <w:rFonts w:ascii="Aptos" w:hAnsi="Aptos" w:cs="Arial"/>
          <w:sz w:val="24"/>
          <w:szCs w:val="24"/>
        </w:rPr>
      </w:pPr>
      <w:r w:rsidRPr="00B22FA0">
        <w:rPr>
          <w:rFonts w:ascii="Aptos" w:hAnsi="Aptos" w:cs="Arial"/>
          <w:sz w:val="24"/>
          <w:szCs w:val="24"/>
        </w:rPr>
        <w:t>1. Strategic Shift</w:t>
      </w:r>
    </w:p>
    <w:p w:rsidR="00865EB0" w:rsidRPr="00B22FA0" w:rsidRDefault="00865EB0" w:rsidP="00865EB0">
      <w:pPr>
        <w:rPr>
          <w:rFonts w:ascii="Aptos" w:hAnsi="Aptos" w:cs="Arial"/>
        </w:rPr>
      </w:pPr>
      <w:r w:rsidRPr="00B22FA0">
        <w:rPr>
          <w:rFonts w:ascii="Aptos" w:hAnsi="Aptos" w:cs="Arial"/>
        </w:rPr>
        <w:t>We are shifting from a horizontal 'enterprise AI platform' to a focused 'financial decision intelligence layer on top of SAP'.</w:t>
      </w:r>
    </w:p>
    <w:p w:rsidR="00865EB0" w:rsidRPr="00B22FA0" w:rsidRDefault="00865EB0" w:rsidP="00865EB0">
      <w:pPr>
        <w:rPr>
          <w:rFonts w:ascii="Aptos" w:hAnsi="Aptos" w:cs="Arial"/>
        </w:rPr>
      </w:pPr>
      <w:r w:rsidRPr="00B22FA0">
        <w:rPr>
          <w:rFonts w:ascii="Aptos" w:hAnsi="Aptos" w:cs="Arial"/>
        </w:rPr>
        <w:t>Rationale:</w:t>
      </w:r>
    </w:p>
    <w:p w:rsidR="00865EB0" w:rsidRPr="00B22FA0" w:rsidRDefault="00865EB0" w:rsidP="00865EB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Clear buyer (CFO / Controller)</w:t>
      </w:r>
    </w:p>
    <w:p w:rsidR="00865EB0" w:rsidRPr="00B22FA0" w:rsidRDefault="00865EB0" w:rsidP="00865EB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Defined ROI-driven use cases</w:t>
      </w:r>
    </w:p>
    <w:p w:rsidR="00865EB0" w:rsidRPr="00B22FA0" w:rsidRDefault="00865EB0" w:rsidP="00865EB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Faster GTM and sales cycles</w:t>
      </w:r>
    </w:p>
    <w:p w:rsidR="00865EB0" w:rsidRPr="00B22FA0" w:rsidRDefault="00865EB0" w:rsidP="00865EB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Stronger differentiation through depth</w:t>
      </w:r>
    </w:p>
    <w:p w:rsidR="002D14D0" w:rsidRPr="00B22FA0" w:rsidRDefault="00865EB0">
      <w:pPr>
        <w:pStyle w:val="Heading1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>2</w:t>
      </w:r>
      <w:r w:rsidR="00000000" w:rsidRPr="00B22FA0">
        <w:rPr>
          <w:rFonts w:ascii="Aptos" w:hAnsi="Aptos" w:cs="Arial"/>
          <w:sz w:val="24"/>
          <w:szCs w:val="24"/>
        </w:rPr>
        <w:t>. 90-Day Execution Plan</w:t>
      </w:r>
    </w:p>
    <w:p w:rsidR="002D14D0" w:rsidRPr="00B22FA0" w:rsidRDefault="00000000">
      <w:pPr>
        <w:pStyle w:val="Heading2"/>
        <w:rPr>
          <w:rFonts w:ascii="Aptos" w:hAnsi="Aptos" w:cs="Arial"/>
          <w:sz w:val="22"/>
          <w:szCs w:val="22"/>
        </w:rPr>
      </w:pPr>
      <w:r w:rsidRPr="00B22FA0">
        <w:rPr>
          <w:rFonts w:ascii="Aptos" w:hAnsi="Aptos" w:cs="Arial"/>
          <w:sz w:val="22"/>
          <w:szCs w:val="22"/>
        </w:rPr>
        <w:t>Product</w:t>
      </w:r>
    </w:p>
    <w:p w:rsidR="002D14D0" w:rsidRPr="00B22FA0" w:rsidRDefault="0000000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Build finance-specific reasoning flows</w:t>
      </w:r>
    </w:p>
    <w:p w:rsidR="002D14D0" w:rsidRPr="00B22FA0" w:rsidRDefault="0000000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Create explainable outputs (audit-ready)</w:t>
      </w:r>
    </w:p>
    <w:p w:rsidR="002D14D0" w:rsidRPr="00B22FA0" w:rsidRDefault="0000000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Implement token usage guardrails</w:t>
      </w:r>
    </w:p>
    <w:p w:rsidR="002D14D0" w:rsidRPr="00B22FA0" w:rsidRDefault="0000000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SAP-native integration (no data replication)</w:t>
      </w:r>
    </w:p>
    <w:p w:rsidR="002D14D0" w:rsidRPr="00B22FA0" w:rsidRDefault="00000000">
      <w:pPr>
        <w:pStyle w:val="Heading2"/>
        <w:rPr>
          <w:rFonts w:ascii="Aptos" w:hAnsi="Aptos" w:cs="Arial"/>
          <w:sz w:val="22"/>
          <w:szCs w:val="22"/>
        </w:rPr>
      </w:pPr>
      <w:r w:rsidRPr="00B22FA0">
        <w:rPr>
          <w:rFonts w:ascii="Aptos" w:hAnsi="Aptos" w:cs="Arial"/>
          <w:sz w:val="22"/>
          <w:szCs w:val="22"/>
        </w:rPr>
        <w:t>GTM</w:t>
      </w:r>
    </w:p>
    <w:p w:rsidR="002D14D0" w:rsidRPr="00B22FA0" w:rsidRDefault="0000000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Develop 5–7 strong use-case narratives</w:t>
      </w:r>
    </w:p>
    <w:p w:rsidR="002D14D0" w:rsidRPr="00B22FA0" w:rsidRDefault="0000000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Position as 'Financial Analysis Layer for SAP'</w:t>
      </w:r>
    </w:p>
    <w:p w:rsidR="002D14D0" w:rsidRPr="00B22FA0" w:rsidRDefault="0000000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Create demo stories aligned to CFO needs</w:t>
      </w:r>
    </w:p>
    <w:p w:rsidR="002D14D0" w:rsidRPr="00B22FA0" w:rsidRDefault="00000000">
      <w:pPr>
        <w:pStyle w:val="Heading2"/>
        <w:rPr>
          <w:rFonts w:ascii="Aptos" w:hAnsi="Aptos" w:cs="Arial"/>
          <w:sz w:val="22"/>
          <w:szCs w:val="22"/>
        </w:rPr>
      </w:pPr>
      <w:r w:rsidRPr="00B22FA0">
        <w:rPr>
          <w:rFonts w:ascii="Aptos" w:hAnsi="Aptos" w:cs="Arial"/>
          <w:sz w:val="22"/>
          <w:szCs w:val="22"/>
        </w:rPr>
        <w:lastRenderedPageBreak/>
        <w:t>Customers</w:t>
      </w:r>
    </w:p>
    <w:p w:rsidR="002D14D0" w:rsidRPr="00B22FA0" w:rsidRDefault="0000000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Identify and onboard 3–5 pilot customers</w:t>
      </w:r>
    </w:p>
    <w:p w:rsidR="002D14D0" w:rsidRPr="00B22FA0" w:rsidRDefault="0000000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Focus on fast iteration and validation</w:t>
      </w:r>
    </w:p>
    <w:p w:rsidR="002D14D0" w:rsidRPr="00B22FA0" w:rsidRDefault="0000000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Capture before/after ROI stories</w:t>
      </w:r>
    </w:p>
    <w:p w:rsidR="002D14D0" w:rsidRPr="00B22FA0" w:rsidRDefault="00865EB0">
      <w:pPr>
        <w:pStyle w:val="Heading1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>3</w:t>
      </w:r>
      <w:r w:rsidR="00000000" w:rsidRPr="00B22FA0">
        <w:rPr>
          <w:rFonts w:ascii="Aptos" w:hAnsi="Aptos" w:cs="Arial"/>
          <w:sz w:val="24"/>
          <w:szCs w:val="24"/>
        </w:rPr>
        <w:t>. Cost &amp; Architecture Guardrails</w:t>
      </w:r>
    </w:p>
    <w:p w:rsidR="002D14D0" w:rsidRPr="00B22FA0" w:rsidRDefault="0000000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Customer-owned infrastructure and LLM usage</w:t>
      </w:r>
    </w:p>
    <w:p w:rsidR="002D14D0" w:rsidRPr="00B22FA0" w:rsidRDefault="0000000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Intelligent model routing</w:t>
      </w:r>
    </w:p>
    <w:p w:rsidR="002D14D0" w:rsidRPr="00B22FA0" w:rsidRDefault="0000000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Limit unbounded queries and simulations</w:t>
      </w:r>
    </w:p>
    <w:p w:rsidR="002D14D0" w:rsidRPr="00B22FA0" w:rsidRDefault="0000000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Optimize for 'first-time-right' responses</w:t>
      </w:r>
    </w:p>
    <w:p w:rsidR="002D14D0" w:rsidRPr="00B22FA0" w:rsidRDefault="00865EB0">
      <w:pPr>
        <w:pStyle w:val="Heading1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>4</w:t>
      </w:r>
      <w:r w:rsidR="00000000" w:rsidRPr="00B22FA0">
        <w:rPr>
          <w:rFonts w:ascii="Aptos" w:hAnsi="Aptos" w:cs="Arial"/>
          <w:sz w:val="24"/>
          <w:szCs w:val="24"/>
        </w:rPr>
        <w:t>. Success Metrics</w:t>
      </w:r>
    </w:p>
    <w:p w:rsidR="002D14D0" w:rsidRPr="00B22FA0" w:rsidRDefault="0000000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10 paying customers</w:t>
      </w:r>
    </w:p>
    <w:p w:rsidR="002D14D0" w:rsidRPr="00B22FA0" w:rsidRDefault="0000000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$1M ARR</w:t>
      </w:r>
    </w:p>
    <w:p w:rsidR="002D14D0" w:rsidRPr="00B22FA0" w:rsidRDefault="0000000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Reduction in financial analysis time</w:t>
      </w:r>
    </w:p>
    <w:p w:rsidR="002D14D0" w:rsidRPr="00B22FA0" w:rsidRDefault="0000000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Accuracy and explainability of outputs</w:t>
      </w:r>
    </w:p>
    <w:p w:rsidR="002D14D0" w:rsidRDefault="00000000">
      <w:pPr>
        <w:pStyle w:val="ListBullet"/>
        <w:rPr>
          <w:rFonts w:ascii="Aptos" w:hAnsi="Aptos" w:cs="Arial"/>
        </w:rPr>
      </w:pPr>
      <w:r w:rsidRPr="00B22FA0">
        <w:rPr>
          <w:rFonts w:ascii="Aptos" w:hAnsi="Aptos" w:cs="Arial"/>
        </w:rPr>
        <w:t>Controlled token / compute cos</w:t>
      </w:r>
    </w:p>
    <w:p w:rsidR="00865EB0" w:rsidRDefault="00865EB0" w:rsidP="00865EB0">
      <w:pPr>
        <w:pStyle w:val="ListBullet"/>
        <w:numPr>
          <w:ilvl w:val="0"/>
          <w:numId w:val="0"/>
        </w:numPr>
        <w:ind w:left="360" w:hanging="360"/>
        <w:rPr>
          <w:rFonts w:ascii="Aptos" w:hAnsi="Aptos" w:cs="Arial"/>
        </w:rPr>
      </w:pPr>
    </w:p>
    <w:p w:rsidR="00865EB0" w:rsidRDefault="00865EB0" w:rsidP="00865EB0">
      <w:pPr>
        <w:pStyle w:val="ListBullet"/>
        <w:numPr>
          <w:ilvl w:val="0"/>
          <w:numId w:val="0"/>
        </w:numPr>
        <w:ind w:left="360" w:hanging="360"/>
        <w:rPr>
          <w:rFonts w:ascii="Aptos" w:hAnsi="Aptos" w:cs="Arial"/>
        </w:rPr>
      </w:pPr>
    </w:p>
    <w:p w:rsidR="00865EB0" w:rsidRPr="00B22FA0" w:rsidRDefault="00865EB0" w:rsidP="00865EB0">
      <w:pPr>
        <w:pStyle w:val="ListBullet"/>
        <w:numPr>
          <w:ilvl w:val="0"/>
          <w:numId w:val="0"/>
        </w:numPr>
        <w:ind w:left="360" w:hanging="360"/>
        <w:rPr>
          <w:rFonts w:ascii="Aptos" w:hAnsi="Aptos" w:cs="Arial"/>
        </w:rPr>
      </w:pPr>
      <w:r>
        <w:rPr>
          <w:rFonts w:ascii="Aptos" w:hAnsi="Aptos" w:cs="Arial"/>
        </w:rPr>
        <w:t>-------------------------------------------------------------------------------------------------------------------</w:t>
      </w:r>
    </w:p>
    <w:sectPr w:rsidR="00865EB0" w:rsidRPr="00B22FA0" w:rsidSect="00865EB0">
      <w:headerReference w:type="default" r:id="rId8"/>
      <w:footerReference w:type="default" r:id="rId9"/>
      <w:pgSz w:w="12240" w:h="15840"/>
      <w:pgMar w:top="1416" w:right="1800" w:bottom="1440" w:left="1800" w:header="11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4FDC" w:rsidRDefault="008E4FDC" w:rsidP="00865EB0">
      <w:pPr>
        <w:spacing w:after="0" w:line="240" w:lineRule="auto"/>
      </w:pPr>
      <w:r>
        <w:separator/>
      </w:r>
    </w:p>
  </w:endnote>
  <w:endnote w:type="continuationSeparator" w:id="0">
    <w:p w:rsidR="008E4FDC" w:rsidRDefault="008E4FDC" w:rsidP="00865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5EB0" w:rsidRDefault="00865EB0" w:rsidP="00865EB0">
    <w:pPr>
      <w:pStyle w:val="Header"/>
      <w:jc w:val="center"/>
    </w:pPr>
    <w:r>
      <w:t xml:space="preserve">Negentrophi Confidential. Please do not distribute without written permission </w:t>
    </w:r>
  </w:p>
  <w:p w:rsidR="00865EB0" w:rsidRPr="00865EB0" w:rsidRDefault="00865EB0" w:rsidP="00865EB0">
    <w:pPr>
      <w:pStyle w:val="Header"/>
      <w:jc w:val="center"/>
    </w:pPr>
    <w:r>
      <w:t xml:space="preserve">from </w:t>
    </w:r>
    <w:r>
      <w:t>Amit Trehan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4FDC" w:rsidRDefault="008E4FDC" w:rsidP="00865EB0">
      <w:pPr>
        <w:spacing w:after="0" w:line="240" w:lineRule="auto"/>
      </w:pPr>
      <w:r>
        <w:separator/>
      </w:r>
    </w:p>
  </w:footnote>
  <w:footnote w:type="continuationSeparator" w:id="0">
    <w:p w:rsidR="008E4FDC" w:rsidRDefault="008E4FDC" w:rsidP="00865E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5EB0" w:rsidRDefault="00865EB0" w:rsidP="00865EB0">
    <w:pPr>
      <w:pStyle w:val="Header"/>
      <w:ind w:left="-851" w:right="-999"/>
    </w:pPr>
  </w:p>
  <w:p w:rsidR="00865EB0" w:rsidRDefault="00865EB0" w:rsidP="00865EB0">
    <w:pPr>
      <w:pStyle w:val="Header"/>
      <w:ind w:left="-851" w:right="-999"/>
    </w:pPr>
  </w:p>
  <w:p w:rsidR="00865EB0" w:rsidRDefault="00865EB0" w:rsidP="00865EB0">
    <w:pPr>
      <w:pStyle w:val="Header"/>
      <w:ind w:left="-851" w:right="-999"/>
    </w:pPr>
    <w:r>
      <w:rPr>
        <w:noProof/>
      </w:rPr>
      <w:drawing>
        <wp:inline distT="0" distB="0" distL="0" distR="0">
          <wp:extent cx="584200" cy="425303"/>
          <wp:effectExtent l="0" t="0" r="0" b="0"/>
          <wp:docPr id="21037806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780640" name="Picture 2103780640"/>
                  <pic:cNvPicPr/>
                </pic:nvPicPr>
                <pic:blipFill rotWithShape="1">
                  <a:blip r:embed="rId1"/>
                  <a:srcRect b="27199"/>
                  <a:stretch/>
                </pic:blipFill>
                <pic:spPr bwMode="auto">
                  <a:xfrm>
                    <a:off x="0" y="0"/>
                    <a:ext cx="600927" cy="4374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  <w:r>
      <w:tab/>
      <w:t xml:space="preserve">    31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1532339">
    <w:abstractNumId w:val="8"/>
  </w:num>
  <w:num w:numId="2" w16cid:durableId="2024824177">
    <w:abstractNumId w:val="6"/>
  </w:num>
  <w:num w:numId="3" w16cid:durableId="941768251">
    <w:abstractNumId w:val="5"/>
  </w:num>
  <w:num w:numId="4" w16cid:durableId="2041320438">
    <w:abstractNumId w:val="4"/>
  </w:num>
  <w:num w:numId="5" w16cid:durableId="1809785402">
    <w:abstractNumId w:val="7"/>
  </w:num>
  <w:num w:numId="6" w16cid:durableId="1516000203">
    <w:abstractNumId w:val="3"/>
  </w:num>
  <w:num w:numId="7" w16cid:durableId="634260250">
    <w:abstractNumId w:val="2"/>
  </w:num>
  <w:num w:numId="8" w16cid:durableId="2004045446">
    <w:abstractNumId w:val="1"/>
  </w:num>
  <w:num w:numId="9" w16cid:durableId="796872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3447"/>
    <w:rsid w:val="0015074B"/>
    <w:rsid w:val="0029639D"/>
    <w:rsid w:val="002D14D0"/>
    <w:rsid w:val="00326F90"/>
    <w:rsid w:val="003C580E"/>
    <w:rsid w:val="0054533E"/>
    <w:rsid w:val="00865EB0"/>
    <w:rsid w:val="008E4FDC"/>
    <w:rsid w:val="00AA1D8D"/>
    <w:rsid w:val="00B22FA0"/>
    <w:rsid w:val="00B47730"/>
    <w:rsid w:val="00BB015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716D82"/>
  <w14:defaultImageDpi w14:val="300"/>
  <w15:docId w15:val="{4C3FF176-D4E8-9149-AB33-60B981AFA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365</Words>
  <Characters>2367</Characters>
  <Application>Microsoft Office Word</Application>
  <DocSecurity>0</DocSecurity>
  <Lines>98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Trehan</cp:lastModifiedBy>
  <cp:revision>5</cp:revision>
  <dcterms:created xsi:type="dcterms:W3CDTF">2026-03-31T03:48:00Z</dcterms:created>
  <dcterms:modified xsi:type="dcterms:W3CDTF">2026-03-31T07:28:00Z</dcterms:modified>
  <cp:category/>
</cp:coreProperties>
</file>