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Si. Dentro de la carpeta dh “cd dh/”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Comando: mkdir Peliculas Accion Terror Comedia Romanticas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Si. Dentro de la carpeta Infantiles.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Comando: touch Intensamente.txt “El juego del miedo.xls” “Rapido y furioso.pdf” Titanic.jpg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Estando ubicados en la carpeta DH crear una carpeta llamada Prueba dentro de la carpeta Romanticas en un solo comando y escribirlo aquí.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Comando: $ mkdir Películas/Romanticas/Prueba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457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Estando ubicados en la carpeta Romanticas crear una carpeta llamada Prueba2 dentro de la carpeta Accion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Comando: $ mkdir ../Accion/Prueba2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72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Resultado: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Mover los archivos que no correspondan a la carpeta con la categoría de película correspondiente.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581977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876675" cy="14859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Estando ubicados en la carpeta DH renombrar los archivos que están mal nombrados debido a faltas ortográficas.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114800" cy="352425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810000" cy="4095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5619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Estando ubicados en la carpeta DH remover (eliminar) los archivos que no sean peliculas y corresponden a canciones en un solo comando c/u.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6286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Ubicados en la carpeta DH crear el archivo noBorrar.js en la carpeta prueba2. En un solo comando.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4667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Ubicados en la carpeta peliculas mover el archivo noBorrar.js de la carpeta prueba2 a la carpeta prueba. En un solo comando.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4191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Ubicados en la carpeta DH crear un archivo llamado camadax.txt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390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Ubicados en la carpeta peliculas, mover el archivo IT a la carpeta infantiles. En un solo comando.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743325" cy="3810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Ubicados en la carpeta peliculas eliminar el archivo camadax.txt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4000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Ubicados en la carpeta peliculas eliminar la carpeta prueba. En un solo comando.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7147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5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