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b/>
          <w:bCs/>
          <w:caps/>
          <w:color w:val="1B3A6B"/>
          <w:sz w:val="48"/>
          <w:szCs w:val="48"/>
        </w:rPr>
        <w:t xml:space="preserve">IDENTITY DYNAMICS QUESTIONNAIRE</w:t>
      </w:r>
    </w:p>
    <w:p>
      <w:pPr>
        <w:spacing w:before="0" w:after="60"/>
      </w:pPr>
      <w:r>
        <w:rPr>
          <w:color w:val="2E75B6"/>
          <w:sz w:val="32"/>
          <w:szCs w:val="32"/>
        </w:rPr>
        <w:t xml:space="preserve">Invention Disclosure Form</w:t>
      </w:r>
    </w:p>
    <w:p>
      <w:pPr>
        <w:spacing w:before="0" w:after="280"/>
      </w:pPr>
      <w:r>
        <w:rPr>
          <w:i/>
          <w:iCs/>
          <w:color w:val="888888"/>
          <w:sz w:val="22"/>
          <w:szCs w:val="22"/>
        </w:rPr>
        <w:t xml:space="preserve">Fidelity Investments — Internal IP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Submission Date</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___________________________</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Prepared By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___________________________</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Department / Team</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___________________________</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Submission 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Draft — For Internal Review</w:t>
            </w:r>
          </w:p>
        </w:tc>
      </w:tr>
    </w:tbl>
    <w:p>
      <w:pPr>
        <w:spacing w:before="320" w:after="0"/>
      </w:pPr>
      <w:r>
        <w:t xml:space="preserve"/>
      </w:r>
    </w:p>
    <w:p>
      <w:pPr>
        <w:pBdr>
          <w:bottom w:val="single" w:color="2E75B6"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b/>
                <w:bCs/>
                <w:caps/>
                <w:color w:val="FFFFFF"/>
                <w:sz w:val="24"/>
                <w:szCs w:val="24"/>
              </w:rPr>
              <w:t xml:space="preserve">Section 1: Name of Invention</w:t>
            </w:r>
          </w:p>
        </w:tc>
      </w:tr>
    </w:tbl>
    <w:p>
      <w:pPr>
        <w:spacing w:before="120" w:after="0"/>
      </w:pPr>
      <w:r>
        <w:t xml:space="preserve"/>
      </w:r>
    </w:p>
    <w:p>
      <w:pPr>
        <w:spacing w:before="80" w:after="80"/>
      </w:pPr>
      <w:r>
        <w:rPr>
          <w:sz w:val="22"/>
          <w:szCs w:val="22"/>
        </w:rPr>
        <w:t xml:space="preserve">aRCHie — AI-Powered Financial Learning Companion (“Life on Easy”)</w:t>
      </w:r>
    </w:p>
    <w:p>
      <w:pPr>
        <w:spacing w:before="80" w:after="0"/>
      </w:pPr>
      <w:r>
        <w:t xml:space="preserve"/>
      </w:r>
    </w:p>
    <w:p>
      <w:pPr>
        <w:spacing w:before="80" w:after="80"/>
      </w:pPr>
      <w:r>
        <w:rPr>
          <w:i/>
          <w:iCs/>
          <w:color w:val="555555"/>
          <w:sz w:val="22"/>
          <w:szCs w:val="22"/>
        </w:rPr>
        <w:t xml:space="preserve">Also referenced as: Money Buddy AI Companion System with Adaptive Persona Engine, HEARTBEAT Feedback Loop, and Multi-Modal Financial Content Delivery Platform.</w:t>
      </w:r>
    </w:p>
    <w:p>
      <w:pPr>
        <w:spacing w:before="240" w:after="0"/>
      </w:pPr>
      <w:r>
        <w:t xml:space="preserve"/>
      </w:r>
    </w:p>
    <w:p>
      <w:pPr>
        <w:pBdr>
          <w:bottom w:val="single" w:color="2E75B6"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b/>
                <w:bCs/>
                <w:caps/>
                <w:color w:val="FFFFFF"/>
                <w:sz w:val="24"/>
                <w:szCs w:val="24"/>
              </w:rPr>
              <w:t xml:space="preserve">Section 2: Problem Solved</w:t>
            </w:r>
          </w:p>
        </w:tc>
      </w:tr>
    </w:tbl>
    <w:p>
      <w:pPr>
        <w:spacing w:before="120" w:after="0"/>
      </w:pPr>
      <w:r>
        <w:t xml:space="preserve"/>
      </w:r>
    </w:p>
    <w:p>
      <w:pPr>
        <w:spacing w:before="80" w:after="80"/>
      </w:pPr>
      <w:r>
        <w:rPr>
          <w:sz w:val="22"/>
          <w:szCs w:val="22"/>
        </w:rPr>
        <w:t xml:space="preserve">Millions of Americans — disproportionately military members, veterans, military spouses, and first-generation investors — feel systematically excluded from financial services. The core barriers are not informational; they are emotional and experiential.</w:t>
      </w:r>
    </w:p>
    <w:p>
      <w:pPr>
        <w:spacing w:before="80" w:after="0"/>
      </w:pPr>
      <w:r>
        <w:t xml:space="preserve"/>
      </w:r>
    </w:p>
    <w:p>
      <w:pPr>
        <w:spacing w:before="80" w:after="80"/>
      </w:pPr>
      <w:r>
        <w:rPr>
          <w:b/>
          <w:bCs/>
          <w:sz w:val="22"/>
          <w:szCs w:val="22"/>
        </w:rPr>
        <w:t xml:space="preserve">Existing financial education tools fail this population in three distinct ways:</w:t>
      </w:r>
    </w:p>
    <w:p>
      <w:pPr>
        <w:spacing w:before="40" w:after="0"/>
      </w:pPr>
      <w:r>
        <w:t xml:space="preserve"/>
      </w:r>
    </w:p>
    <w:p>
      <w:pPr>
        <w:pStyle w:val="ListParagraph"/>
        <w:numPr>
          <w:ilvl w:val="0"/>
          <w:numId w:val="2"/>
        </w:numPr>
        <w:spacing w:before="40" w:after="40"/>
      </w:pPr>
      <w:r>
        <w:rPr>
          <w:b w:val="false"/>
          <w:bCs w:val="false"/>
          <w:sz w:val="22"/>
          <w:szCs w:val="22"/>
        </w:rPr>
        <w:t xml:space="preserve">Tone and language: Content assumes baseline financial literacy, uses institutional jargon, and projects implicit judgment for not knowing.</w:t>
      </w:r>
    </w:p>
    <w:p>
      <w:pPr>
        <w:pStyle w:val="ListParagraph"/>
        <w:numPr>
          <w:ilvl w:val="0"/>
          <w:numId w:val="2"/>
        </w:numPr>
        <w:spacing w:before="40" w:after="40"/>
      </w:pPr>
      <w:r>
        <w:rPr>
          <w:b w:val="false"/>
          <w:bCs w:val="false"/>
          <w:sz w:val="22"/>
          <w:szCs w:val="22"/>
        </w:rPr>
        <w:t xml:space="preserve">Form over conversation: Onboarding is gate-driven and form-heavy, creating friction before trust is established.</w:t>
      </w:r>
    </w:p>
    <w:p>
      <w:pPr>
        <w:pStyle w:val="ListParagraph"/>
        <w:numPr>
          <w:ilvl w:val="0"/>
          <w:numId w:val="2"/>
        </w:numPr>
        <w:spacing w:before="40" w:after="40"/>
      </w:pPr>
      <w:r>
        <w:rPr>
          <w:b w:val="false"/>
          <w:bCs w:val="false"/>
          <w:sz w:val="22"/>
          <w:szCs w:val="22"/>
        </w:rPr>
        <w:t xml:space="preserve">One-size delivery: Content and modality are static and not adapted to how a specific user learns, what they already know, or where they are emotionally.</w:t>
      </w:r>
    </w:p>
    <w:p>
      <w:pPr>
        <w:spacing w:before="120" w:after="0"/>
      </w:pPr>
      <w:r>
        <w:t xml:space="preserve"/>
      </w:r>
    </w:p>
    <w:p>
      <w:pPr>
        <w:spacing w:before="80" w:after="80"/>
      </w:pPr>
      <w:r>
        <w:rPr>
          <w:sz w:val="22"/>
          <w:szCs w:val="22"/>
        </w:rPr>
        <w:t xml:space="preserve">The result is a large segment of the population that disengages from financial education before it begins — not because the content is wrong, but because the experience says “this isn’t for you.”</w:t>
      </w:r>
    </w:p>
    <w:p>
      <w:pPr>
        <w:spacing w:before="80" w:after="0"/>
      </w:pPr>
      <w:r>
        <w:t xml:space="preserve"/>
      </w:r>
    </w:p>
    <w:p>
      <w:pPr>
        <w:spacing w:before="80" w:after="80"/>
      </w:pPr>
      <w:r>
        <w:rPr>
          <w:sz w:val="22"/>
          <w:szCs w:val="22"/>
        </w:rPr>
        <w:t xml:space="preserve">aRCHie solves this by replacing the institutional interface with a conversational AI companion that meets users in their own language, at their own pace, without judgment. The system makes the entry experience feel personal rather than clinical, and continuously adapts delivery to the individual user’s signals, preferences, and goals.</w:t>
      </w:r>
    </w:p>
    <w:p>
      <w:pPr>
        <w:spacing w:before="240" w:after="0"/>
      </w:pPr>
      <w:r>
        <w:t xml:space="preserve"/>
      </w:r>
    </w:p>
    <w:p>
      <w:pPr>
        <w:pBdr>
          <w:bottom w:val="single" w:color="2E75B6"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b/>
                <w:bCs/>
                <w:caps/>
                <w:color w:val="FFFFFF"/>
                <w:sz w:val="24"/>
                <w:szCs w:val="24"/>
              </w:rPr>
              <w:t xml:space="preserve">Section 3: How aRCHie Supports Fidelity Business Goals</w:t>
            </w:r>
          </w:p>
        </w:tc>
      </w:tr>
    </w:tbl>
    <w:p>
      <w:pPr>
        <w:spacing w:before="120" w:after="0"/>
      </w:pPr>
      <w:r>
        <w:t xml:space="preserve"/>
      </w:r>
    </w:p>
    <w:p>
      <w:pPr>
        <w:spacing w:before="80" w:after="80"/>
      </w:pPr>
      <w:r>
        <w:rPr>
          <w:sz w:val="22"/>
          <w:szCs w:val="22"/>
        </w:rPr>
        <w:t xml:space="preserve">aRCHie is architected to support Fidelity’s business goals across three strategic dimensions:</w:t>
      </w:r>
    </w:p>
    <w:p>
      <w:pPr>
        <w:spacing w:before="80" w:after="0"/>
      </w:pPr>
      <w:r>
        <w:t xml:space="preserve"/>
      </w:r>
    </w:p>
    <w:p>
      <w:pPr>
        <w:pStyle w:val="Heading2"/>
      </w:pPr>
      <w:r>
        <w:rPr>
          <w:b/>
          <w:bCs/>
          <w:color w:val="2E75B6"/>
        </w:rPr>
        <w:t xml:space="preserve">3.1 Market Expansion — Reaching Underserved Segments</w:t>
      </w:r>
    </w:p>
    <w:p>
      <w:pPr>
        <w:pStyle w:val="ListParagraph"/>
        <w:numPr>
          <w:ilvl w:val="0"/>
          <w:numId w:val="2"/>
        </w:numPr>
        <w:spacing w:before="40" w:after="40"/>
      </w:pPr>
      <w:r>
        <w:rPr>
          <w:b w:val="false"/>
          <w:bCs w:val="false"/>
          <w:sz w:val="22"/>
          <w:szCs w:val="22"/>
        </w:rPr>
        <w:t xml:space="preserve">aRCHie directly targets populations currently underrepresented in Fidelity’s customer base: active military, veterans, military spouses, and first-generation investors.</w:t>
      </w:r>
    </w:p>
    <w:p>
      <w:pPr>
        <w:pStyle w:val="ListParagraph"/>
        <w:numPr>
          <w:ilvl w:val="0"/>
          <w:numId w:val="2"/>
        </w:numPr>
        <w:spacing w:before="40" w:after="40"/>
      </w:pPr>
      <w:r>
        <w:rPr>
          <w:b w:val="false"/>
          <w:bCs w:val="false"/>
          <w:sz w:val="22"/>
          <w:szCs w:val="22"/>
        </w:rPr>
        <w:t xml:space="preserve">The accessible Grade 6 reading level content standard and non-judgmental AI companion lower the onramp to financial engagement for users historically excluded by traditional tools.</w:t>
      </w:r>
    </w:p>
    <w:p>
      <w:pPr>
        <w:pStyle w:val="ListParagraph"/>
        <w:numPr>
          <w:ilvl w:val="0"/>
          <w:numId w:val="2"/>
        </w:numPr>
        <w:spacing w:before="40" w:after="40"/>
      </w:pPr>
      <w:r>
        <w:rPr>
          <w:b w:val="false"/>
          <w:bCs w:val="false"/>
          <w:sz w:val="22"/>
          <w:szCs w:val="22"/>
        </w:rPr>
        <w:t xml:space="preserve">The standalone module architecture enables distribution via app stores and white-label or Credit Union partner integrations, extending Fidelity’s brand reach beyond its existing customer footprint.</w:t>
      </w:r>
    </w:p>
    <w:p>
      <w:pPr>
        <w:spacing w:before="100" w:after="0"/>
      </w:pPr>
      <w:r>
        <w:t xml:space="preserve"/>
      </w:r>
    </w:p>
    <w:p>
      <w:pPr>
        <w:pStyle w:val="Heading2"/>
      </w:pPr>
      <w:r>
        <w:rPr>
          <w:b/>
          <w:bCs/>
          <w:color w:val="2E75B6"/>
        </w:rPr>
        <w:t xml:space="preserve">3.2 Customer Acquisition — Earlier Relationship Initiation</w:t>
      </w:r>
    </w:p>
    <w:p>
      <w:pPr>
        <w:pStyle w:val="ListParagraph"/>
        <w:numPr>
          <w:ilvl w:val="0"/>
          <w:numId w:val="2"/>
        </w:numPr>
        <w:spacing w:before="40" w:after="40"/>
      </w:pPr>
      <w:r>
        <w:rPr>
          <w:b w:val="false"/>
          <w:bCs w:val="false"/>
          <w:sz w:val="22"/>
          <w:szCs w:val="22"/>
        </w:rPr>
        <w:t xml:space="preserve">By providing genuine value before any product commitment, aRCHie builds trust and brand affinity with users early in their financial journey.</w:t>
      </w:r>
    </w:p>
    <w:p>
      <w:pPr>
        <w:pStyle w:val="ListParagraph"/>
        <w:numPr>
          <w:ilvl w:val="0"/>
          <w:numId w:val="2"/>
        </w:numPr>
        <w:spacing w:before="40" w:after="40"/>
      </w:pPr>
      <w:r>
        <w:rPr>
          <w:b w:val="false"/>
          <w:bCs w:val="false"/>
          <w:sz w:val="22"/>
          <w:szCs w:val="22"/>
        </w:rPr>
        <w:t xml:space="preserve">The unauthenticated Starter Pack allows users to engage with content and the Money Buddy companion without account creation, reducing the traditional drop-off point in acquisition funnels.</w:t>
      </w:r>
    </w:p>
    <w:p>
      <w:pPr>
        <w:pStyle w:val="ListParagraph"/>
        <w:numPr>
          <w:ilvl w:val="0"/>
          <w:numId w:val="2"/>
        </w:numPr>
        <w:spacing w:before="40" w:after="40"/>
      </w:pPr>
      <w:r>
        <w:rPr>
          <w:b w:val="false"/>
          <w:bCs w:val="false"/>
          <w:sz w:val="22"/>
          <w:szCs w:val="22"/>
        </w:rPr>
        <w:t xml:space="preserve">The Credit Union integration path positions Fidelity as a preferred educational partner, creating downstream referral pathways to Fidelity product offerings.</w:t>
      </w:r>
    </w:p>
    <w:p>
      <w:pPr>
        <w:spacing w:before="100" w:after="0"/>
      </w:pPr>
      <w:r>
        <w:t xml:space="preserve"/>
      </w:r>
    </w:p>
    <w:p>
      <w:pPr>
        <w:pStyle w:val="Heading2"/>
      </w:pPr>
      <w:r>
        <w:rPr>
          <w:b/>
          <w:bCs/>
          <w:color w:val="2E75B6"/>
        </w:rPr>
        <w:t xml:space="preserve">3.3 Retention — Behavioral Signal Loop to Product Action</w:t>
      </w:r>
    </w:p>
    <w:p>
      <w:pPr>
        <w:pStyle w:val="ListParagraph"/>
        <w:numPr>
          <w:ilvl w:val="0"/>
          <w:numId w:val="2"/>
        </w:numPr>
        <w:spacing w:before="40" w:after="40"/>
      </w:pPr>
      <w:r>
        <w:rPr>
          <w:b w:val="false"/>
          <w:bCs w:val="false"/>
          <w:sz w:val="22"/>
          <w:szCs w:val="22"/>
        </w:rPr>
        <w:t xml:space="preserve">The HEARTBEAT feedback loop continuously captures user engagement signals (content completion, affect response, interaction depth) and feeds them into the personalization engine.</w:t>
      </w:r>
    </w:p>
    <w:p>
      <w:pPr>
        <w:pStyle w:val="ListParagraph"/>
        <w:numPr>
          <w:ilvl w:val="0"/>
          <w:numId w:val="2"/>
        </w:numPr>
        <w:spacing w:before="40" w:after="40"/>
      </w:pPr>
      <w:r>
        <w:rPr>
          <w:b w:val="false"/>
          <w:bCs w:val="false"/>
          <w:sz w:val="22"/>
          <w:szCs w:val="22"/>
        </w:rPr>
        <w:t xml:space="preserve">As user learning maturity grows, the system’s ACTION output drives behavior toward real financial decisions, with GP Platform integration creating a direct bridge from financial education to financial product adoption (Phase 2 roadmap).</w:t>
      </w:r>
    </w:p>
    <w:p>
      <w:pPr>
        <w:pStyle w:val="ListParagraph"/>
        <w:numPr>
          <w:ilvl w:val="0"/>
          <w:numId w:val="2"/>
        </w:numPr>
        <w:spacing w:before="40" w:after="40"/>
      </w:pPr>
      <w:r>
        <w:rPr>
          <w:b w:val="false"/>
          <w:bCs w:val="false"/>
          <w:sz w:val="22"/>
          <w:szCs w:val="22"/>
        </w:rPr>
        <w:t xml:space="preserve">FusionIQ consumption data is designed to feed back into the user knowledge model, creating a compounding personalization advantage over time.</w:t>
      </w:r>
    </w:p>
    <w:p>
      <w:pPr>
        <w:spacing w:before="240" w:after="0"/>
      </w:pPr>
      <w:r>
        <w:t xml:space="preserve"/>
      </w:r>
    </w:p>
    <w:p>
      <w:pPr>
        <w:pBdr>
          <w:bottom w:val="single" w:color="2E75B6"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b/>
                <w:bCs/>
                <w:caps/>
                <w:color w:val="FFFFFF"/>
                <w:sz w:val="24"/>
                <w:szCs w:val="24"/>
              </w:rPr>
              <w:t xml:space="preserve">Section 4: Prior Art Search</w:t>
            </w:r>
          </w:p>
        </w:tc>
      </w:tr>
    </w:tbl>
    <w:p>
      <w:pPr>
        <w:spacing w:before="120" w:after="0"/>
      </w:pPr>
      <w:r>
        <w:t xml:space="preserve"/>
      </w:r>
    </w:p>
    <w:p>
      <w:pPr>
        <w:spacing w:before="80" w:after="80"/>
      </w:pPr>
      <w:r>
        <w:rPr>
          <w:sz w:val="22"/>
          <w:szCs w:val="22"/>
        </w:rPr>
        <w:t xml:space="preserve">A formal prior art search should be conducted across the following domains. The following represents the scope of relevant search areas and preliminary observations to guide that search.</w:t>
      </w:r>
    </w:p>
    <w:p>
      <w:pPr>
        <w:spacing w:before="80" w:after="0"/>
      </w:pPr>
      <w:r>
        <w:t xml:space="preserve"/>
      </w:r>
    </w:p>
    <w:p>
      <w:pPr>
        <w:pStyle w:val="Heading2"/>
      </w:pPr>
      <w:r>
        <w:rPr>
          <w:b/>
          <w:bCs/>
          <w:color w:val="2E75B6"/>
        </w:rPr>
        <w:t xml:space="preserve">4.1 Search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Conversational AI Onboarding</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Natural language intake systems that replace form-based onboarding with dialogue-driven personalization in fintech or edtech contexts.</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Adaptive Financial Education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AI-powered financial literacy systems that dynamically adjust content complexity, tone, or delivery modality based on user signals.</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Persona-Based Content Delivery</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Systems that select and deliver content based on inferred or declared user personas, particularly in financial services.</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Behavioral Feedback Loops in EdTech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Architectures that capture affective or behavioral signals during learning and use them to adjust subsequent content delivery.</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AI Companion / Coach Products</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Commercial products in the personal finance or investment education space that use AI companion personas (e.g., chatbots, voice assistants).</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Multi-Modal Financial Content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Systems that deliver the same financial content across multiple formats (read, watch, listen, do) driven by user preference data.</w:t>
            </w:r>
          </w:p>
        </w:tc>
      </w:tr>
    </w:tbl>
    <w:p>
      <w:pPr>
        <w:spacing w:before="120" w:after="0"/>
      </w:pPr>
      <w:r>
        <w:t xml:space="preserve"/>
      </w:r>
    </w:p>
    <w:p>
      <w:pPr>
        <w:pStyle w:val="Heading2"/>
      </w:pPr>
      <w:r>
        <w:rPr>
          <w:b/>
          <w:bCs/>
          <w:color w:val="2E75B6"/>
        </w:rPr>
        <w:t xml:space="preserve">4.2 Preliminary Observations</w:t>
      </w:r>
    </w:p>
    <w:p>
      <w:pPr>
        <w:pStyle w:val="ListParagraph"/>
        <w:numPr>
          <w:ilvl w:val="0"/>
          <w:numId w:val="2"/>
        </w:numPr>
        <w:spacing w:before="40" w:after="40"/>
      </w:pPr>
      <w:r>
        <w:rPr>
          <w:b w:val="false"/>
          <w:bCs w:val="false"/>
          <w:sz w:val="22"/>
          <w:szCs w:val="22"/>
        </w:rPr>
        <w:t xml:space="preserve">Products such as Beanstalk, Greenlight, Albert, and Stash offer aspects of personalized financial guidance but do not combine adaptive AI companion onboarding with persona-based multi-modal content delivery in a military/veteran context.</w:t>
      </w:r>
    </w:p>
    <w:p>
      <w:pPr>
        <w:pStyle w:val="ListParagraph"/>
        <w:numPr>
          <w:ilvl w:val="0"/>
          <w:numId w:val="2"/>
        </w:numPr>
        <w:spacing w:before="40" w:after="40"/>
      </w:pPr>
      <w:r>
        <w:rPr>
          <w:b w:val="false"/>
          <w:bCs w:val="false"/>
          <w:sz w:val="22"/>
          <w:szCs w:val="22"/>
        </w:rPr>
        <w:t xml:space="preserve">No identified prior art combines the HEARTBEAT behavioral feedback architecture with a Grade 6 accessibility standard and a non-judgment design principle applied at the system level.</w:t>
      </w:r>
    </w:p>
    <w:p>
      <w:pPr>
        <w:pStyle w:val="ListParagraph"/>
        <w:numPr>
          <w:ilvl w:val="0"/>
          <w:numId w:val="2"/>
        </w:numPr>
        <w:spacing w:before="40" w:after="40"/>
      </w:pPr>
      <w:r>
        <w:rPr>
          <w:b w:val="false"/>
          <w:bCs w:val="false"/>
          <w:sz w:val="22"/>
          <w:szCs w:val="22"/>
        </w:rPr>
        <w:t xml:space="preserve">Voice-first interaction as a primary modality (not supplement) in financial education contexts is a relatively underexplored area in identified prior art.</w:t>
      </w:r>
    </w:p>
    <w:p>
      <w:pPr>
        <w:spacing w:before="80" w:after="0"/>
      </w:pPr>
      <w:r>
        <w:t xml:space="preserve"/>
      </w:r>
    </w:p>
    <w:p>
      <w:pPr>
        <w:spacing w:before="80" w:after="80"/>
      </w:pPr>
      <w:r>
        <w:rPr>
          <w:i/>
          <w:iCs/>
          <w:color w:val="666666"/>
          <w:sz w:val="22"/>
          <w:szCs w:val="22"/>
        </w:rPr>
        <w:t xml:space="preserve">NOTE: This section should be completed with support from Fidelity’s IP/Patent team prior to final submission. Inventors should document any internal Fidelity systems or prior projects that may be related.</w:t>
      </w:r>
    </w:p>
    <w:p>
      <w:pPr>
        <w:spacing w:before="240" w:after="0"/>
      </w:pPr>
      <w:r>
        <w:t xml:space="preserve"/>
      </w:r>
    </w:p>
    <w:p>
      <w:pPr>
        <w:pBdr>
          <w:bottom w:val="single" w:color="2E75B6"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b/>
                <w:bCs/>
                <w:caps/>
                <w:color w:val="FFFFFF"/>
                <w:sz w:val="24"/>
                <w:szCs w:val="24"/>
              </w:rPr>
              <w:t xml:space="preserve">Section 5: What Is New?</w:t>
            </w:r>
          </w:p>
        </w:tc>
      </w:tr>
    </w:tbl>
    <w:p>
      <w:pPr>
        <w:spacing w:before="120" w:after="0"/>
      </w:pPr>
      <w:r>
        <w:t xml:space="preserve"/>
      </w:r>
    </w:p>
    <w:p>
      <w:pPr>
        <w:spacing w:before="80" w:after="80"/>
      </w:pPr>
      <w:r>
        <w:rPr>
          <w:sz w:val="22"/>
          <w:szCs w:val="22"/>
        </w:rPr>
        <w:t xml:space="preserve">aRCHie’s novelty lies not in any single component, but in the specific combination of system architecture, design philosophy, and target application that together constitute a novel invention. The key innovations are:</w:t>
      </w:r>
    </w:p>
    <w:p>
      <w:pPr>
        <w:spacing w:before="80" w:after="0"/>
      </w:pPr>
      <w:r>
        <w:t xml:space="preserve"/>
      </w:r>
    </w:p>
    <w:p>
      <w:pPr>
        <w:pStyle w:val="Heading2"/>
      </w:pPr>
      <w:r>
        <w:rPr>
          <w:b/>
          <w:bCs/>
          <w:color w:val="2E75B6"/>
        </w:rPr>
        <w:t xml:space="preserve">5.1 Non-Judgment AI Companion Onboarding Without Financial Jargon Requirement</w:t>
      </w:r>
    </w:p>
    <w:p>
      <w:pPr>
        <w:spacing w:before="80" w:after="80"/>
      </w:pPr>
      <w:r>
        <w:rPr>
          <w:sz w:val="22"/>
          <w:szCs w:val="22"/>
        </w:rPr>
        <w:t xml:space="preserve">Existing financial education tools require users to engage in financially literate language from the outset. aRCHie inverts this: the Money Buddy AI companion conducts onboarding as a two-way conversational introduction (“Let’s get to know each other”) in which the user is never required to use financial terminology. The system infers user context, comfort level, and goals from natural language patterns, not from answers to financial knowledge questions.</w:t>
      </w:r>
    </w:p>
    <w:p>
      <w:pPr>
        <w:spacing w:before="100" w:after="0"/>
      </w:pPr>
      <w:r>
        <w:t xml:space="preserve"/>
      </w:r>
    </w:p>
    <w:p>
      <w:pPr>
        <w:pStyle w:val="Heading2"/>
      </w:pPr>
      <w:r>
        <w:rPr>
          <w:b/>
          <w:bCs/>
          <w:color w:val="2E75B6"/>
        </w:rPr>
        <w:t xml:space="preserve">5.2 Real-Time Persona Refinement Via Multi-Signal Diagnostic Engine</w:t>
      </w:r>
    </w:p>
    <w:p>
      <w:pPr>
        <w:spacing w:before="80" w:after="80"/>
      </w:pPr>
      <w:r>
        <w:rPr>
          <w:sz w:val="22"/>
          <w:szCs w:val="22"/>
        </w:rPr>
        <w:t xml:space="preserve">The Money Buddy companion employs a multi-signal diagnostic approach that combines explicit slider-based self-assessment, natural language pattern analysis, and behavioral interaction signals to continuously refine the user’s persona model in real time. This persona model then drives all downstream content selection and delivery decisions. This continuous refinement loop — rather than a one-time intake quiz — is a novel architectural approach.</w:t>
      </w:r>
    </w:p>
    <w:p>
      <w:pPr>
        <w:spacing w:before="100" w:after="0"/>
      </w:pPr>
      <w:r>
        <w:t xml:space="preserve"/>
      </w:r>
    </w:p>
    <w:p>
      <w:pPr>
        <w:pStyle w:val="Heading2"/>
      </w:pPr>
      <w:r>
        <w:rPr>
          <w:b/>
          <w:bCs/>
          <w:color w:val="2E75B6"/>
        </w:rPr>
        <w:t xml:space="preserve">5.3 HEARTBEAT Behavioral Feedback Loop</w:t>
      </w:r>
    </w:p>
    <w:p>
      <w:pPr>
        <w:spacing w:before="80" w:after="80"/>
      </w:pPr>
      <w:r>
        <w:rPr>
          <w:sz w:val="22"/>
          <w:szCs w:val="22"/>
        </w:rPr>
        <w:t xml:space="preserve">The HEARTBEAT system captures how users respond to content — affectively and behaviorally — and feeds those signals back into the personalization engine. Unlike standard engagement metrics (clicks, time-on-page), HEARTBEAT is designed to capture learning affect and content resonance as distinct signals. Over time, HEARTBEAT output is designed to transition from learning personalization to financial product action trigger, creating a novel bridge between financial education and financial product adoption.</w:t>
      </w:r>
    </w:p>
    <w:p>
      <w:pPr>
        <w:spacing w:before="100" w:after="0"/>
      </w:pPr>
      <w:r>
        <w:t xml:space="preserve"/>
      </w:r>
    </w:p>
    <w:p>
      <w:pPr>
        <w:pStyle w:val="Heading2"/>
      </w:pPr>
      <w:r>
        <w:rPr>
          <w:b/>
          <w:bCs/>
          <w:color w:val="2E75B6"/>
        </w:rPr>
        <w:t xml:space="preserve">5.4 Accessibility-First Grade 6 Content Architecture</w:t>
      </w:r>
    </w:p>
    <w:p>
      <w:pPr>
        <w:spacing w:before="80" w:after="80"/>
      </w:pPr>
      <w:r>
        <w:rPr>
          <w:sz w:val="22"/>
          <w:szCs w:val="22"/>
        </w:rPr>
        <w:t xml:space="preserve">The full 3,000+ article content library is architected to Grade 6 reading level or below as a system-level constraint, not a post-hoc simplification. Combined with the Artemis CMS, which enforces this standard at the content lifecycle level (creation, editing, retiring), this represents a novel application of accessibility-first principles to a large-scale financial education content system.</w:t>
      </w:r>
    </w:p>
    <w:p>
      <w:pPr>
        <w:spacing w:before="100" w:after="0"/>
      </w:pPr>
      <w:r>
        <w:t xml:space="preserve"/>
      </w:r>
    </w:p>
    <w:p>
      <w:pPr>
        <w:pStyle w:val="Heading2"/>
      </w:pPr>
      <w:r>
        <w:rPr>
          <w:b/>
          <w:bCs/>
          <w:color w:val="2E75B6"/>
        </w:rPr>
        <w:t xml:space="preserve">5.5 Modality-Agnostic Content Delivery with User-Controlled Selection</w:t>
      </w:r>
    </w:p>
    <w:p>
      <w:pPr>
        <w:spacing w:before="80" w:after="80"/>
      </w:pPr>
      <w:r>
        <w:rPr>
          <w:sz w:val="22"/>
          <w:szCs w:val="22"/>
        </w:rPr>
        <w:t xml:space="preserve">Each content item in aRCHie is available across multiple delivery modalities (Learn, Do It, See It, Challenge Me, Voice, Teach GPT/Podcast), with modality descriptions presented to the user before selection. This “choose how you learn” architecture — driven by the user’s diagnostic profile rather than defaults — is novel in the financial education context.</w:t>
      </w:r>
    </w:p>
    <w:p>
      <w:pPr>
        <w:spacing w:before="100" w:after="0"/>
      </w:pPr>
      <w:r>
        <w:t xml:space="preserve"/>
      </w:r>
    </w:p>
    <w:p>
      <w:pPr>
        <w:pStyle w:val="Heading2"/>
      </w:pPr>
      <w:r>
        <w:rPr>
          <w:b/>
          <w:bCs/>
          <w:color w:val="2E75B6"/>
        </w:rPr>
        <w:t xml:space="preserve">5.6 Military/Veteran Persona-Specific Financial Education System</w:t>
      </w:r>
    </w:p>
    <w:p>
      <w:pPr>
        <w:spacing w:before="80" w:after="80"/>
      </w:pPr>
      <w:r>
        <w:rPr>
          <w:sz w:val="22"/>
          <w:szCs w:val="22"/>
        </w:rPr>
        <w:t xml:space="preserve">aRCHie is designed with a defined set of target personas (new military members, transitioning veterans, military spouses, career service members) and their associated financial literacy profiles, life events, and goals. The persona-based content index and delivery system tailored specifically to this population, combined with the Grade 6 accessibility standard, represents a novel and underserved application in the fintech education space.</w:t>
      </w:r>
    </w:p>
    <w:p>
      <w:pPr>
        <w:spacing w:before="240" w:after="0"/>
      </w:pPr>
      <w:r>
        <w:t xml:space="preserve"/>
      </w:r>
    </w:p>
    <w:p>
      <w:pPr>
        <w:pBdr>
          <w:bottom w:val="single" w:color="2E75B6"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b/>
                <w:bCs/>
                <w:caps/>
                <w:color w:val="FFFFFF"/>
                <w:sz w:val="24"/>
                <w:szCs w:val="24"/>
              </w:rPr>
              <w:t xml:space="preserve">Section 6: Core Technical Innovation — AI-Scoped Content Tagging Architecture</w:t>
            </w:r>
          </w:p>
        </w:tc>
      </w:tr>
    </w:tbl>
    <w:p>
      <w:pPr>
        <w:spacing w:before="120" w:after="0"/>
      </w:pPr>
      <w:r>
        <w:t xml:space="preserve"/>
      </w:r>
    </w:p>
    <w:p>
      <w:pPr>
        <w:spacing w:before="80" w:after="80"/>
      </w:pPr>
      <w:r>
        <w:rPr>
          <w:sz w:val="22"/>
          <w:szCs w:val="22"/>
        </w:rPr>
        <w:t xml:space="preserve">The primary technical advancement of the aRCHie system is a novel method for preparing, targeting, and training AI language models on financial education content using a structured HTML attribute tagging architecture. This system — referred to internally as the AI Tagging Architecture — solves a critical problem in applied LLM deployment: how to direct an AI model’s attention exclusively to the content that requires transformation, while preventing hallucination, unintended modification, and context drift across the remainder of the document.</w:t>
      </w:r>
    </w:p>
    <w:p>
      <w:pPr>
        <w:spacing w:before="80" w:after="0"/>
      </w:pPr>
      <w:r>
        <w:t xml:space="preserve"/>
      </w:r>
    </w:p>
    <w:p>
      <w:pPr>
        <w:spacing w:before="80" w:after="80"/>
      </w:pPr>
      <w:r>
        <w:rPr>
          <w:sz w:val="22"/>
          <w:szCs w:val="22"/>
        </w:rPr>
        <w:t xml:space="preserve">The architecture diagram below describes the full system as designed, including the content ingestion pipeline, the central training database, the aRCHie feedback loop, and the six downstream consumer outputs with associated delivery phase designations (Q1, Q1-2, Q3-4).</w:t>
      </w:r>
    </w:p>
    <w:p>
      <w:pPr>
        <w:spacing w:before="120" w:after="0"/>
      </w:pPr>
      <w:r>
        <w:t xml:space="preserve"/>
      </w:r>
    </w:p>
    <w:p>
      <w:pPr>
        <w:pStyle w:val="Heading2"/>
      </w:pPr>
      <w:r>
        <w:rPr>
          <w:b/>
          <w:bCs/>
          <w:color w:val="2E75B6"/>
        </w:rPr>
        <w:t xml:space="preserve">6.1 The Core Innovation: data-ai-rewrite Scoped Targeting</w:t>
      </w:r>
    </w:p>
    <w:p>
      <w:pPr>
        <w:spacing w:before="80" w:after="80"/>
      </w:pPr>
      <w:r>
        <w:rPr>
          <w:sz w:val="22"/>
          <w:szCs w:val="22"/>
        </w:rPr>
        <w:t xml:space="preserve">The system introduces a structured HTML span attribute, data-ai-rewrite="true", that creates an explicit, machine-readable boundary around content that requires LLM processing. Content outside these tagged boundaries is categorically excluded from LLM attention — it is never passed to the model.</w:t>
      </w:r>
    </w:p>
    <w:p>
      <w:pPr>
        <w:spacing w:before="80" w:after="0"/>
      </w:pPr>
      <w:r>
        <w:t xml:space="preserve"/>
      </w:r>
    </w:p>
    <w:p>
      <w:pPr>
        <w:spacing w:before="80" w:after="80"/>
      </w:pPr>
      <w:r>
        <w:rPr>
          <w:sz w:val="22"/>
          <w:szCs w:val="22"/>
        </w:rPr>
        <w:t xml:space="preserve">This is technically significant for three reasons:</w:t>
      </w:r>
    </w:p>
    <w:p>
      <w:pPr>
        <w:spacing w:before="40" w:after="0"/>
      </w:pPr>
      <w:r>
        <w:t xml:space="preserve"/>
      </w:r>
    </w:p>
    <w:p>
      <w:pPr>
        <w:pStyle w:val="ListParagraph"/>
        <w:numPr>
          <w:ilvl w:val="0"/>
          <w:numId w:val="2"/>
        </w:numPr>
        <w:spacing w:before="40" w:after="40"/>
      </w:pPr>
      <w:r>
        <w:rPr>
          <w:b w:val="false"/>
          <w:bCs w:val="false"/>
          <w:sz w:val="22"/>
          <w:szCs w:val="22"/>
        </w:rPr>
        <w:t xml:space="preserve">Hallucination Containment: By scoping LLM attention to marked spans only, the system prevents the model from altering, reinterpreting, or hallucinating changes to surrounding content that is factually correct, structurally important, or legally sensitive. The model operates on a bounded context window, not the full document.</w:t>
      </w:r>
    </w:p>
    <w:p>
      <w:pPr>
        <w:pStyle w:val="ListParagraph"/>
        <w:numPr>
          <w:ilvl w:val="0"/>
          <w:numId w:val="2"/>
        </w:numPr>
        <w:spacing w:before="40" w:after="40"/>
      </w:pPr>
      <w:r>
        <w:rPr>
          <w:b w:val="false"/>
          <w:bCs w:val="false"/>
          <w:sz w:val="22"/>
          <w:szCs w:val="22"/>
        </w:rPr>
        <w:t xml:space="preserve">Precision Targeting at Block Level: The Article Extractor operates at the block-element level (paragraphs, list items, headings, table cells) rather than individual DOM text nodes. This is architecturally significant: sentences that span multiple HTML elements — for example, a sentence containing a bold product name (“invest in Fidelity Flex funds” split across three text nodes) — are captured whole rather than fragmented. The complete sentence is always the unit of LLM input, preserving grammatical and semantic integrity.</w:t>
      </w:r>
    </w:p>
    <w:p>
      <w:pPr>
        <w:pStyle w:val="ListParagraph"/>
        <w:numPr>
          <w:ilvl w:val="0"/>
          <w:numId w:val="2"/>
        </w:numPr>
        <w:spacing w:before="40" w:after="40"/>
      </w:pPr>
      <w:r>
        <w:rPr>
          <w:b w:val="false"/>
          <w:bCs w:val="false"/>
          <w:sz w:val="22"/>
          <w:szCs w:val="22"/>
        </w:rPr>
        <w:t xml:space="preserve">HTML Structure Preservation: The tagging architecture enforces a strict immutability contract. The LLM may only modify text content within marked spans. All HTML attributes, image paths, hyperlink hrefs, inline formatting, and structural elements outside marked spans are never touched. Document integrity is preserved through all stages of the transformation pipeline.</w:t>
      </w:r>
    </w:p>
    <w:p>
      <w:pPr>
        <w:spacing w:before="120" w:after="0"/>
      </w:pPr>
      <w:r>
        <w:t xml:space="preserve"/>
      </w:r>
    </w:p>
    <w:p>
      <w:pPr>
        <w:pStyle w:val="Heading2"/>
      </w:pPr>
      <w:r>
        <w:rPr>
          <w:b/>
          <w:bCs/>
          <w:color w:val="2E75B6"/>
        </w:rPr>
        <w:t xml:space="preserve">6.2 System Architecture: The Full Pipeline</w:t>
      </w:r>
    </w:p>
    <w:p>
      <w:pPr>
        <w:spacing w:before="80" w:after="80"/>
      </w:pPr>
      <w:r>
        <w:rPr>
          <w:sz w:val="22"/>
          <w:szCs w:val="22"/>
        </w:rPr>
        <w:t xml:space="preserve">The architecture operates as two interconnected flows: a Content Ingestion Pipeline that populates the central database, and an aRCHie Distribution Layer that draws from that database to serve six downstream consumer outputs. A continuous feedback loop from all downstream consumers returns signals to aRCHie, enabling ongoing model refinement.</w:t>
      </w:r>
    </w:p>
    <w:p>
      <w:pPr>
        <w:spacing w:before="80" w:after="0"/>
      </w:pPr>
      <w:r>
        <w:t xml:space="preserve"/>
      </w:r>
    </w:p>
    <w:p>
      <w:pPr>
        <w:pStyle w:val="Heading2"/>
      </w:pPr>
      <w:r>
        <w:rPr>
          <w:b/>
          <w:bCs/>
          <w:color w:val="2E75B6"/>
        </w:rPr>
        <w:t xml:space="preserve">Content Ingestion Pipeline</w:t>
      </w:r>
    </w:p>
    <w:p>
      <w:pPr>
        <w:spacing w:before="80" w:after="80"/>
      </w:pPr>
      <w:r>
        <w:rPr>
          <w:sz w:val="22"/>
          <w:szCs w:val="22"/>
        </w:rPr>
        <w:t xml:space="preserve">Two parallel content streams feed the central database:</w:t>
      </w:r>
    </w:p>
    <w:p>
      <w:pPr>
        <w:spacing w:before="40" w:after="0"/>
      </w:pPr>
      <w:r>
        <w:t xml:space="preserve"/>
      </w:r>
    </w:p>
    <w:p>
      <w:pPr>
        <w:pStyle w:val="ListParagraph"/>
        <w:numPr>
          <w:ilvl w:val="0"/>
          <w:numId w:val="2"/>
        </w:numPr>
        <w:spacing w:before="40" w:after="40"/>
      </w:pPr>
      <w:r>
        <w:rPr>
          <w:b w:val="false"/>
          <w:bCs w:val="false"/>
          <w:sz w:val="22"/>
          <w:szCs w:val="22"/>
        </w:rPr>
        <w:t xml:space="preserve">Fidelity CMS Stream: Raw articles are accessed from the Fidelity Content Management System. The Article Extractor applies block-level sentence detection, identifies all sentences containing brand-specific references, and wraps them in data-ai-rewrite="true" spans. The tagged HTML then enters the processing pipeline.</w:t>
      </w:r>
    </w:p>
    <w:p>
      <w:pPr>
        <w:pStyle w:val="ListParagraph"/>
        <w:numPr>
          <w:ilvl w:val="0"/>
          <w:numId w:val="2"/>
        </w:numPr>
        <w:spacing w:before="40" w:after="40"/>
      </w:pPr>
      <w:r>
        <w:rPr>
          <w:b w:val="false"/>
          <w:bCs w:val="false"/>
          <w:sz w:val="22"/>
          <w:szCs w:val="22"/>
        </w:rPr>
        <w:t xml:space="preserve">Vendor / Enrichment Stream: Third-party and vendor-sourced content is ingested through an enrichment layer, which normalizes structure and prepares content for the same tagging and processing pipeline.</w:t>
      </w:r>
    </w:p>
    <w:p>
      <w:pPr>
        <w:spacing w:before="80" w:after="0"/>
      </w:pPr>
      <w:r>
        <w:t xml:space="preserve"/>
      </w:r>
    </w:p>
    <w:p>
      <w:pPr>
        <w:spacing w:before="80" w:after="80"/>
      </w:pPr>
      <w:r>
        <w:rPr>
          <w:sz w:val="22"/>
          <w:szCs w:val="22"/>
        </w:rPr>
        <w:t xml:space="preserve">Both streams pass through the same two-stage processing sequence before reaching the database: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Stage 1 — Human-in-the-Loop
(Tag Review)</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A human reviewer applies and inspects the data-ai-rewrite tagging, operating at block-element level. The reviewer identifies brand product names, possessive references (our/we/us), trademark symbols, footnote markers, and product-specific hyperlink text, wrapping all identified content in scoped spans. This gate ensures tagging accuracy — confirming that the right content is marked and that content outside the spans is correctly left untouched.</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Stage 2 — aReview
(LLM Rewrite + Approval)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The tagged spans are passed to the LLM (Claude API) for brand neutralization. The model rewrites only the marked content: replacing brand names with generic equivalents, removing trademark symbols, stripping footnotes and parenthetical product references. The reviewer then performs a word-level diff review of original vs. rewritten content. Only approved output advances to the database.</w:t>
            </w:r>
          </w:p>
        </w:tc>
      </w:tr>
    </w:tbl>
    <w:p>
      <w:pPr>
        <w:spacing w:before="120" w:after="0"/>
      </w:pPr>
      <w:r>
        <w:t xml:space="preserve"/>
      </w:r>
    </w:p>
    <w:p>
      <w:pPr>
        <w:pStyle w:val="Heading2"/>
      </w:pPr>
      <w:r>
        <w:rPr>
          <w:b/>
          <w:bCs/>
          <w:color w:val="2E75B6"/>
        </w:rPr>
        <w:t xml:space="preserve">6.3 The Central Database: Training Corpus and Content Library</w:t>
      </w:r>
    </w:p>
    <w:p>
      <w:pPr>
        <w:spacing w:before="80" w:after="80"/>
      </w:pPr>
      <w:r>
        <w:rPr>
          <w:sz w:val="22"/>
          <w:szCs w:val="22"/>
        </w:rPr>
        <w:t xml:space="preserve">The central database (FCAT) is the architectural keystone of the system. It serves a dual purpose that constitutes one of the primary novel claims of this invention:</w:t>
      </w:r>
    </w:p>
    <w:p>
      <w:pPr>
        <w:spacing w:before="60" w:after="0"/>
      </w:pPr>
      <w:r>
        <w:t xml:space="preserve"/>
      </w:r>
    </w:p>
    <w:p>
      <w:pPr>
        <w:pStyle w:val="ListParagraph"/>
        <w:numPr>
          <w:ilvl w:val="0"/>
          <w:numId w:val="2"/>
        </w:numPr>
        <w:spacing w:before="40" w:after="40"/>
      </w:pPr>
      <w:r>
        <w:rPr>
          <w:b w:val="false"/>
          <w:bCs w:val="false"/>
          <w:sz w:val="22"/>
          <w:szCs w:val="22"/>
        </w:rPr>
        <w:t xml:space="preserve">Live Content Library: The database is the source of truth for all content served to aRCHie users. Every article in the Starter Pack, the full 3,000+ article library, and all podcast/audio content draws from this database. Content is tagged with full metadata: source URL, processing date, reviewer identity, replacement log, taxonomy tags, and reading level confirmation.</w:t>
      </w:r>
    </w:p>
    <w:p>
      <w:pPr>
        <w:pStyle w:val="ListParagraph"/>
        <w:numPr>
          <w:ilvl w:val="0"/>
          <w:numId w:val="2"/>
        </w:numPr>
        <w:spacing w:before="40" w:after="40"/>
      </w:pPr>
      <w:r>
        <w:rPr>
          <w:b w:val="false"/>
          <w:bCs w:val="false"/>
          <w:sz w:val="22"/>
          <w:szCs w:val="22"/>
        </w:rPr>
        <w:t xml:space="preserve">LLM Training Corpus: The same database simultaneously functions as a continuously growing, human-validated training dataset. Each record contains the original branded content (input), the AI-rewritten neutral equivalent (output), span-level boundary annotations identifying exactly which text was transformed and which was preserved, and human approval signals from both review checkpoints. This labeled structure is purpose-built for LLM fine-tuning.</w:t>
      </w:r>
    </w:p>
    <w:p>
      <w:pPr>
        <w:spacing w:before="80" w:after="0"/>
      </w:pPr>
      <w:r>
        <w:t xml:space="preserve"/>
      </w:r>
    </w:p>
    <w:p>
      <w:pPr>
        <w:spacing w:before="80" w:after="80"/>
      </w:pPr>
      <w:r>
        <w:rPr>
          <w:sz w:val="22"/>
          <w:szCs w:val="22"/>
        </w:rPr>
        <w:t xml:space="preserve">The feedback loop shown in the architecture diagram — returning signals from all six downstream consumers back to aRCHie — means the training corpus grows and improves with every user interaction. The model learns not only how to rewrite content correctly, but critically, what not to touch. Over time this produces a fine-tuned model specifically calibrated to the financial education domain and the Grade 6 accessibility standard, with demonstrably lower hallucination rates than a general-purpose LLM operating on full-document prompts.</w:t>
      </w:r>
    </w:p>
    <w:p>
      <w:pPr>
        <w:spacing w:before="120" w:after="0"/>
      </w:pPr>
      <w:r>
        <w:t xml:space="preserve"/>
      </w:r>
    </w:p>
    <w:p>
      <w:pPr>
        <w:pStyle w:val="Heading2"/>
      </w:pPr>
      <w:r>
        <w:rPr>
          <w:b/>
          <w:bCs/>
          <w:color w:val="2E75B6"/>
        </w:rPr>
        <w:t xml:space="preserve">6.4 aRCHie Distribution Layer: Six Downstream Consumer Outputs</w:t>
      </w:r>
    </w:p>
    <w:p>
      <w:pPr>
        <w:spacing w:before="80" w:after="80"/>
      </w:pPr>
      <w:r>
        <w:rPr>
          <w:sz w:val="22"/>
          <w:szCs w:val="22"/>
        </w:rPr>
        <w:t xml:space="preserve">The aRCHie system draws from the central database to power six distinct downstream outputs, each with a defined delivery phase designation. These phases reflect the architecture diagram directly: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Custom Content
Based on Customer Type
(Q1–2)</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Content selection and delivery is dynamically personalized based on the user’s persona profile (new military member, transitioning veteran, military spouse, career service member). The Money Buddy diagnostic engine determines which content from the database is surfaced for each individual user.</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White Label Articles /
Brand Neutralized Content
(Q1)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Articles processed through the AI Tagging Architecture pipeline are delivered as fully brand-neutral, white-label content. Fidelity-specific references have been replaced with generic equivalents. This output is available at Day 1 launch.</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Custom Article Lists
Based on Customer Type
(Q1–2)</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Curated content lists are dynamically assembled per persona, rather than static editorial selections. The system generates personalized reading queues based on the user’s current persona model and learning progression signals from HEARTBEAT.</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Content + Podcasts /
Teach GPT
(Q1–2)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The same brand-neutral article text feeds a text-to-speech and AI narration layer to produce podcast-format audio content. Teach GPT delivers AI-narrated content experiences. Lists are dynamically assembled based on customer type, mirroring the article list output in audio form.</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Agentic AI Chat /
Knowledge from DB
(Q3–4)</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The Money Buddy conversational AI is grounded in the database via retrieval-augmented generation (RAG). User questions are answered using content drawn from the validated, brand-neutral corpus rather than raw model knowledge. This reduces hallucination risk by anchoring responses to approved source material. Planned for Q3–4.</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Learning Path /
Dynamic Engaging Journey
(Q1, Future)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A dynamically generated, personalized learning journey assembled from database content and driven by the user’s HEARTBEAT behavioral signals and Money Buddy persona model. Designated in the architecture as a planned future capability (dashed border in diagram).</w:t>
            </w:r>
          </w:p>
        </w:tc>
      </w:tr>
    </w:tbl>
    <w:p>
      <w:pPr>
        <w:spacing w:before="120" w:after="0"/>
      </w:pPr>
      <w:r>
        <w:t xml:space="preserve"/>
      </w:r>
    </w:p>
    <w:p>
      <w:pPr>
        <w:pStyle w:val="Heading2"/>
      </w:pPr>
      <w:r>
        <w:rPr>
          <w:b/>
          <w:bCs/>
          <w:color w:val="2E75B6"/>
        </w:rPr>
        <w:t xml:space="preserve">6.5 Downstream Distribution: TeachGPT, FCAT Products, and Platform Outputs</w:t>
      </w:r>
    </w:p>
    <w:p>
      <w:pPr>
        <w:spacing w:before="80" w:after="80"/>
      </w:pPr>
      <w:r>
        <w:rPr>
          <w:sz w:val="22"/>
          <w:szCs w:val="22"/>
        </w:rPr>
        <w:t xml:space="preserve">The architecture identifies three additional downstream distribution targets beyond the six aRCHie consumer outputs:</w:t>
      </w:r>
    </w:p>
    <w:p>
      <w:pPr>
        <w:spacing w:before="60" w:after="0"/>
      </w:pPr>
      <w:r>
        <w:t xml:space="preserve"/>
      </w:r>
    </w:p>
    <w:p>
      <w:pPr>
        <w:pStyle w:val="ListParagraph"/>
        <w:numPr>
          <w:ilvl w:val="0"/>
          <w:numId w:val="2"/>
        </w:numPr>
        <w:spacing w:before="40" w:after="40"/>
      </w:pPr>
      <w:r>
        <w:rPr>
          <w:b w:val="false"/>
          <w:bCs w:val="false"/>
          <w:sz w:val="22"/>
          <w:szCs w:val="22"/>
        </w:rPr>
        <w:t xml:space="preserve">TeachGPT: A standalone AI-narrated content delivery system powered by the same database. TeachGPT receives processed content from the pipeline and serves it in podcast/audio format independently of the primary aRCHie interface.</w:t>
      </w:r>
    </w:p>
    <w:p>
      <w:pPr>
        <w:pStyle w:val="ListParagraph"/>
        <w:numPr>
          <w:ilvl w:val="0"/>
          <w:numId w:val="2"/>
        </w:numPr>
        <w:spacing w:before="40" w:after="40"/>
      </w:pPr>
      <w:r>
        <w:rPr>
          <w:b w:val="false"/>
          <w:bCs w:val="false"/>
          <w:sz w:val="22"/>
          <w:szCs w:val="22"/>
        </w:rPr>
        <w:t xml:space="preserve">FCAT Products: The content database and processing pipeline serve as the foundation for the broader FCAT product suite, enabling reuse of validated, brand-neutral financial education content across multiple Fidelity products.</w:t>
      </w:r>
    </w:p>
    <w:p>
      <w:pPr>
        <w:pStyle w:val="ListParagraph"/>
        <w:numPr>
          <w:ilvl w:val="0"/>
          <w:numId w:val="2"/>
        </w:numPr>
        <w:spacing w:before="40" w:after="40"/>
      </w:pPr>
      <w:r>
        <w:rPr>
          <w:b w:val="false"/>
          <w:bCs w:val="false"/>
          <w:sz w:val="22"/>
          <w:szCs w:val="22"/>
        </w:rPr>
        <w:t xml:space="preserve">Fidelity Products (Planned): The architecture designates a future integration path into Fidelity’s broader product ecosystem, with the HEARTBEAT ACTION output designed to trigger product-level calls-to-action as user learning maturity grows.</w:t>
      </w:r>
    </w:p>
    <w:p>
      <w:pPr>
        <w:pStyle w:val="ListParagraph"/>
        <w:numPr>
          <w:ilvl w:val="0"/>
          <w:numId w:val="2"/>
        </w:numPr>
        <w:spacing w:before="40" w:after="40"/>
      </w:pPr>
      <w:r>
        <w:rPr>
          <w:b w:val="false"/>
          <w:bCs w:val="false"/>
          <w:sz w:val="22"/>
          <w:szCs w:val="22"/>
        </w:rPr>
        <w:t xml:space="preserve">Standalone Product (Planned): The system is architected for independent distribution as a standalone product, distributable via app stores without requiring Credit Union or Fidelity platform integration.</w:t>
      </w:r>
    </w:p>
    <w:p>
      <w:pPr>
        <w:spacing w:before="120" w:after="0"/>
      </w:pPr>
      <w:r>
        <w:t xml:space="preserve"/>
      </w:r>
    </w:p>
    <w:p>
      <w:pPr>
        <w:pStyle w:val="Heading2"/>
      </w:pPr>
      <w:r>
        <w:rPr>
          <w:b/>
          <w:bCs/>
          <w:color w:val="2E75B6"/>
        </w:rPr>
        <w:t xml:space="preserve">6.6 Hallucination Minimization: Three-Layer Control System</w:t>
      </w:r>
    </w:p>
    <w:p>
      <w:pPr>
        <w:spacing w:before="80" w:after="80"/>
      </w:pPr>
      <w:r>
        <w:rPr>
          <w:sz w:val="22"/>
          <w:szCs w:val="22"/>
        </w:rPr>
        <w:t xml:space="preserve">The AI Tagging Architecture minimizes LLM hallucination through three mechanisms operating in combination across the pipeline: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Bounded Context Windows</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The LLM receives only the tagged span and its immediate sentence context — never the full document. Smaller, precisely scoped prompts eliminate the surface area for model drift and confabulation on content that is not the target of transformation.</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Immutability Contract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Content outside data-ai-rewrite spans is categorically never submitted to the LLM. Factual financial data, statistics, educational content, image metadata, HTML structure, and hyperlink hrefs are immutable throughout the pipeline.</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Human-in-the-Loop Review Gate</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No AI-processed content reaches the training database or user-facing library without human review at both the tagging stage and the diff approval stage. This prevents systematically wrong rewrites from propagating into the training corpus and degrading future model performance.</w:t>
            </w:r>
          </w:p>
        </w:tc>
      </w:tr>
    </w:tbl>
    <w:p>
      <w:pPr>
        <w:spacing w:before="120" w:after="0"/>
      </w:pPr>
      <w:r>
        <w:t xml:space="preserve"/>
      </w:r>
    </w:p>
    <w:p>
      <w:pPr>
        <w:pStyle w:val="Heading2"/>
      </w:pPr>
      <w:r>
        <w:rPr>
          <w:b/>
          <w:bCs/>
          <w:color w:val="2E75B6"/>
        </w:rPr>
        <w:t xml:space="preserve">6.7 Technical Architecture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Tagging Method</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HTML span attribute (data-ai-rewrite="true") applied at block-element level via DOM traversal (JS browser-side and Python/BeautifulSoup server-side)</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Sentence Detection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Block-level innerText traversal crossing multi-node HTML boundaries; regex sentence boundary detection</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Automated Tagger</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Safter — applies tagging without human intervention; identifies brand names, possessives, trademarks, footnotes, product tool references</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LLM Rewrite 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Claude API; receives span-bounded context only; full document never submitted</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Review Gates</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Human-in-the-Loop: tag review before LLM processing. aReview: diff review and approval after LLM rewrite, before database ingestion.</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Database 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Dual-purpose: live content library (user delivery) + labeled LLM training corpus (fine-tuning)</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Training Signal Structure</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Original input + rewritten output + span boundary annotations + dual human approval flags</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Feedback Loop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All six downstream consumer outputs return behavioral signals to aRCHie for continuous model refinement</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Downstream Consumers</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Custom content, white-label articles, custom article lists, Teach GPT/podcasts, Agentic AI Chat (RAG), Learning Path, TeachGPT, FCAT Products, Fidelity Products (planned), Standalone product (planned)</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Implementation Stack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JavaScript (browser-side Article Extractor + Brand Neutralizer UI); Python/BeautifulSoup (batch server-side processing); Claude API (LLM rewrite); FCAT database; Artemis CMS</w:t>
            </w:r>
          </w:p>
        </w:tc>
      </w:tr>
    </w:tbl>
    <w:p>
      <w:pPr>
        <w:spacing w:before="240" w:after="0"/>
      </w:pPr>
      <w:r>
        <w:t xml:space="preserve"/>
      </w:r>
    </w:p>
    <w:p>
      <w:pPr>
        <w:pBdr>
          <w:bottom w:val="single" w:color="2E75B6"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b/>
                <w:bCs/>
                <w:caps/>
                <w:color w:val="FFFFFF"/>
                <w:sz w:val="24"/>
                <w:szCs w:val="24"/>
              </w:rPr>
              <w:t xml:space="preserve">Section 7: Detailed Description</w:t>
            </w:r>
          </w:p>
        </w:tc>
      </w:tr>
    </w:tbl>
    <w:p>
      <w:pPr>
        <w:spacing w:before="120" w:after="0"/>
      </w:pPr>
      <w:r>
        <w:t xml:space="preserve"/>
      </w:r>
    </w:p>
    <w:p>
      <w:pPr>
        <w:pStyle w:val="Heading2"/>
      </w:pPr>
      <w:r>
        <w:rPr>
          <w:b/>
          <w:bCs/>
          <w:color w:val="2E75B6"/>
        </w:rPr>
        <w:t xml:space="preserve">7.1 System Overview</w:t>
      </w:r>
    </w:p>
    <w:p>
      <w:pPr>
        <w:spacing w:before="80" w:after="80"/>
      </w:pPr>
      <w:r>
        <w:rPr>
          <w:sz w:val="22"/>
          <w:szCs w:val="22"/>
        </w:rPr>
        <w:t xml:space="preserve">aRCHie is a mobile-first financial education and guidance companion system, initially integrated into a Credit Union customer experience but architected as a standalone module for independent distribution. The system consists of five primary components: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Money Buddy</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AI-powered conversational companion and personalization engine.</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Starter Pack / Content Library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3,000+ articles managed via Artemis CMS, sourced from FusionIQ and scrubbed of institution-specific references. Grade 6 reading level enforced.</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HEARTBEAT Feedback Loop</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Behavioral signal capture and routing system that feeds personalization and downstream action triggers.</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Artemis CMS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Content lifecycle management system governing creation, editing, tagging, cross-linking, and retirement of all content.</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FusionIQ Integration</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Data sourcing and content pipeline, with Phase 2 consumption data feedback into the user knowledge model.</w:t>
            </w:r>
          </w:p>
        </w:tc>
      </w:tr>
    </w:tbl>
    <w:p>
      <w:pPr>
        <w:spacing w:before="140" w:after="0"/>
      </w:pPr>
      <w:r>
        <w:t xml:space="preserve"/>
      </w:r>
    </w:p>
    <w:p>
      <w:pPr>
        <w:pStyle w:val="Heading2"/>
      </w:pPr>
      <w:r>
        <w:rPr>
          <w:b/>
          <w:bCs/>
          <w:color w:val="2E75B6"/>
        </w:rPr>
        <w:t xml:space="preserve">7.2 User Journey Architecture</w:t>
      </w:r>
    </w:p>
    <w:p>
      <w:pPr>
        <w:spacing w:before="80" w:after="80"/>
      </w:pPr>
      <w:r>
        <w:rPr>
          <w:sz w:val="22"/>
          <w:szCs w:val="22"/>
        </w:rPr>
        <w:t xml:space="preserve">The aRCHie experience is structured as a continuous loop across three phases, which users can enter and re-enter at any point:</w:t>
      </w:r>
    </w:p>
    <w:p>
      <w:pPr>
        <w:spacing w:before="60" w:after="0"/>
      </w:pPr>
      <w:r>
        <w:t xml:space="preserve"/>
      </w:r>
    </w:p>
    <w:p>
      <w:pPr>
        <w:pStyle w:val="ListParagraph"/>
        <w:numPr>
          <w:ilvl w:val="0"/>
          <w:numId w:val="2"/>
        </w:numPr>
        <w:spacing w:before="40" w:after="40"/>
      </w:pPr>
      <w:r>
        <w:rPr>
          <w:b w:val="false"/>
          <w:bCs w:val="false"/>
          <w:sz w:val="22"/>
          <w:szCs w:val="22"/>
        </w:rPr>
        <w:t xml:space="preserve">IMAGINE: Users begin by articulating life goals and dreams — not account balances or investment preferences. The system captures aspirational language and uses it to seed the initial persona model. No financial knowledge is required at this stage.</w:t>
      </w:r>
    </w:p>
    <w:p>
      <w:pPr>
        <w:pStyle w:val="ListParagraph"/>
        <w:numPr>
          <w:ilvl w:val="0"/>
          <w:numId w:val="2"/>
        </w:numPr>
        <w:spacing w:before="40" w:after="40"/>
      </w:pPr>
      <w:r>
        <w:rPr>
          <w:b w:val="false"/>
          <w:bCs w:val="false"/>
          <w:sz w:val="22"/>
          <w:szCs w:val="22"/>
        </w:rPr>
        <w:t xml:space="preserve">CONNECT &amp; TRUST: The Money Buddy companion initiates a conversational onboarding sequence framed as mutual introduction. Trust is established before any data collection occurs. The user’s comfort level is assessed via the “Level with me” vs. “Show me reality” choice, which calibrates content tone and complexity.</w:t>
      </w:r>
    </w:p>
    <w:p>
      <w:pPr>
        <w:pStyle w:val="ListParagraph"/>
        <w:numPr>
          <w:ilvl w:val="0"/>
          <w:numId w:val="2"/>
        </w:numPr>
        <w:spacing w:before="40" w:after="40"/>
      </w:pPr>
      <w:r>
        <w:rPr>
          <w:b w:val="false"/>
          <w:bCs w:val="false"/>
          <w:sz w:val="22"/>
          <w:szCs w:val="22"/>
        </w:rPr>
        <w:t xml:space="preserve">LEARN: Content is delivered in the user’s preferred modality and at their calibrated complexity level. The HEARTBEAT loop captures engagement signals throughout. Learning is non-linear; users can exit and re-enter at any point with session state preserved.</w:t>
      </w:r>
    </w:p>
    <w:p>
      <w:pPr>
        <w:spacing w:before="140" w:after="0"/>
      </w:pPr>
      <w:r>
        <w:t xml:space="preserve"/>
      </w:r>
    </w:p>
    <w:p>
      <w:pPr>
        <w:pStyle w:val="Heading2"/>
      </w:pPr>
      <w:r>
        <w:rPr>
          <w:b/>
          <w:bCs/>
          <w:color w:val="2E75B6"/>
        </w:rPr>
        <w:t xml:space="preserve">7.3 Money Buddy: AI Companion &amp; Personalization Engine</w:t>
      </w:r>
    </w:p>
    <w:p>
      <w:pPr>
        <w:spacing w:before="80" w:after="80"/>
      </w:pPr>
      <w:r>
        <w:rPr>
          <w:sz w:val="22"/>
          <w:szCs w:val="22"/>
        </w:rPr>
        <w:t xml:space="preserve">Money Buddy is the core interaction layer of aRCHie. It operates as both a conversational interface and a diagnostic engine:</w:t>
      </w:r>
    </w:p>
    <w:p>
      <w:pPr>
        <w:spacing w:before="60" w:after="0"/>
      </w:pPr>
      <w:r>
        <w:t xml:space="preserve"/>
      </w:r>
    </w:p>
    <w:p>
      <w:pPr>
        <w:pStyle w:val="ListParagraph"/>
        <w:numPr>
          <w:ilvl w:val="0"/>
          <w:numId w:val="2"/>
        </w:numPr>
        <w:spacing w:before="40" w:after="40"/>
      </w:pPr>
      <w:r>
        <w:rPr>
          <w:b w:val="false"/>
          <w:bCs w:val="false"/>
          <w:sz w:val="22"/>
          <w:szCs w:val="22"/>
        </w:rPr>
        <w:t xml:space="preserve">Diagnostic Capability: Money Buddy uses a combination of (a) explicit slider-based self-assessment inputs, (b) natural language pattern analysis during conversation, and (c) behavioral signals from content interactions to build and refine a user persona model in real time.</w:t>
      </w:r>
    </w:p>
    <w:p>
      <w:pPr>
        <w:pStyle w:val="ListParagraph"/>
        <w:numPr>
          <w:ilvl w:val="0"/>
          <w:numId w:val="2"/>
        </w:numPr>
        <w:spacing w:before="40" w:after="40"/>
      </w:pPr>
      <w:r>
        <w:rPr>
          <w:b w:val="false"/>
          <w:bCs w:val="false"/>
          <w:sz w:val="22"/>
          <w:szCs w:val="22"/>
        </w:rPr>
        <w:t xml:space="preserve">Persona Refinement: The persona model is not static. It updates continuously based on accumulated signals, allowing the companion to adjust content recommendations, vocabulary, tone, and modality preferences as the user’s engagement profile deepens.</w:t>
      </w:r>
    </w:p>
    <w:p>
      <w:pPr>
        <w:pStyle w:val="ListParagraph"/>
        <w:numPr>
          <w:ilvl w:val="0"/>
          <w:numId w:val="2"/>
        </w:numPr>
        <w:spacing w:before="40" w:after="40"/>
      </w:pPr>
      <w:r>
        <w:rPr>
          <w:b w:val="false"/>
          <w:bCs w:val="false"/>
          <w:sz w:val="22"/>
          <w:szCs w:val="22"/>
        </w:rPr>
        <w:t xml:space="preserve">Voice Interaction: Voice is supported as a primary interaction modality within Money Buddy, not merely as a supplement to text. Speech pattern analysis (with user consent) can contribute to persona refinement.</w:t>
      </w:r>
    </w:p>
    <w:p>
      <w:pPr>
        <w:pStyle w:val="ListParagraph"/>
        <w:numPr>
          <w:ilvl w:val="0"/>
          <w:numId w:val="2"/>
        </w:numPr>
        <w:spacing w:before="40" w:after="40"/>
      </w:pPr>
      <w:r>
        <w:rPr>
          <w:b w:val="false"/>
          <w:bCs w:val="false"/>
          <w:sz w:val="22"/>
          <w:szCs w:val="22"/>
        </w:rPr>
        <w:t xml:space="preserve">Beanstalk Integration: Learnings from the Beanstalk program are incorporated into the Money Buddy fine-tuning process, ensuring the companion reflects validated approaches to financial behavior change.</w:t>
      </w:r>
    </w:p>
    <w:p>
      <w:pPr>
        <w:pStyle w:val="ListParagraph"/>
        <w:numPr>
          <w:ilvl w:val="0"/>
          <w:numId w:val="2"/>
        </w:numPr>
        <w:spacing w:before="40" w:after="40"/>
      </w:pPr>
      <w:r>
        <w:rPr>
          <w:b w:val="false"/>
          <w:bCs w:val="false"/>
          <w:sz w:val="22"/>
          <w:szCs w:val="22"/>
        </w:rPr>
        <w:t xml:space="preserve">Progressive Customization: Advanced customization options are unlocked progressively after a threshold number of interactions, preventing feature overload on Day 1 while rewarding continued engagement.</w:t>
      </w:r>
    </w:p>
    <w:p>
      <w:pPr>
        <w:spacing w:before="140" w:after="0"/>
      </w:pPr>
      <w:r>
        <w:t xml:space="preserve"/>
      </w:r>
    </w:p>
    <w:p>
      <w:pPr>
        <w:pStyle w:val="Heading2"/>
      </w:pPr>
      <w:r>
        <w:rPr>
          <w:b/>
          <w:bCs/>
          <w:color w:val="2E75B6"/>
        </w:rPr>
        <w:t xml:space="preserve">7.4 Content Architecture</w:t>
      </w:r>
    </w:p>
    <w:p>
      <w:pPr>
        <w:pStyle w:val="ListParagraph"/>
        <w:numPr>
          <w:ilvl w:val="0"/>
          <w:numId w:val="2"/>
        </w:numPr>
        <w:spacing w:before="40" w:after="40"/>
      </w:pPr>
      <w:r>
        <w:rPr>
          <w:b w:val="false"/>
          <w:bCs w:val="false"/>
          <w:sz w:val="22"/>
          <w:szCs w:val="22"/>
        </w:rPr>
        <w:t xml:space="preserve">Volume: The full library contains 3,000+ articles. The Starter Pack — available to unauthenticated users — contains 50–90 curated articles at launch.</w:t>
      </w:r>
    </w:p>
    <w:p>
      <w:pPr>
        <w:pStyle w:val="ListParagraph"/>
        <w:numPr>
          <w:ilvl w:val="0"/>
          <w:numId w:val="2"/>
        </w:numPr>
        <w:spacing w:before="40" w:after="40"/>
      </w:pPr>
      <w:r>
        <w:rPr>
          <w:b w:val="false"/>
          <w:bCs w:val="false"/>
          <w:sz w:val="22"/>
          <w:szCs w:val="22"/>
        </w:rPr>
        <w:t xml:space="preserve">Sourcing: All content is sourced from FusionIQ and processed through a Brand Neutralizer pipeline that scrubs institution-specific references prior to publishing in Artemis CMS.</w:t>
      </w:r>
    </w:p>
    <w:p>
      <w:pPr>
        <w:pStyle w:val="ListParagraph"/>
        <w:numPr>
          <w:ilvl w:val="0"/>
          <w:numId w:val="2"/>
        </w:numPr>
        <w:spacing w:before="40" w:after="40"/>
      </w:pPr>
      <w:r>
        <w:rPr>
          <w:b w:val="false"/>
          <w:bCs w:val="false"/>
          <w:sz w:val="22"/>
          <w:szCs w:val="22"/>
        </w:rPr>
        <w:t xml:space="preserve">Accessibility Standard: All content is written at or below a Grade 6 reading level. This is a system-level constraint enforced throughout the content lifecycle.</w:t>
      </w:r>
    </w:p>
    <w:p>
      <w:pPr>
        <w:pStyle w:val="ListParagraph"/>
        <w:numPr>
          <w:ilvl w:val="0"/>
          <w:numId w:val="2"/>
        </w:numPr>
        <w:spacing w:before="40" w:after="40"/>
      </w:pPr>
      <w:r>
        <w:rPr>
          <w:b w:val="false"/>
          <w:bCs w:val="false"/>
          <w:sz w:val="22"/>
          <w:szCs w:val="22"/>
        </w:rPr>
        <w:t xml:space="preserve">Modality Coverage: Each content item is available in multiple modalities — Learn (article), Do It (action), See It (video/visual), Challenge Me (quiz/assessment), Voice (audio), and Teach GPT/Podcast (AI-narrated). Modality descriptors are shown to users before selection.</w:t>
      </w:r>
    </w:p>
    <w:p>
      <w:pPr>
        <w:pStyle w:val="ListParagraph"/>
        <w:numPr>
          <w:ilvl w:val="0"/>
          <w:numId w:val="2"/>
        </w:numPr>
        <w:spacing w:before="40" w:after="40"/>
      </w:pPr>
      <w:r>
        <w:rPr>
          <w:b w:val="false"/>
          <w:bCs w:val="false"/>
          <w:sz w:val="22"/>
          <w:szCs w:val="22"/>
        </w:rPr>
        <w:t xml:space="preserve">Personalization Layer: Content selection is driven by intake questionnaire results (what to show); delivery style is driven by Money Buddy diagnostics (how to show it). User Job-to-be-Done is integrated into response framing.</w:t>
      </w:r>
    </w:p>
    <w:p>
      <w:pPr>
        <w:spacing w:before="140" w:after="0"/>
      </w:pPr>
      <w:r>
        <w:t xml:space="preserve"/>
      </w:r>
    </w:p>
    <w:p>
      <w:pPr>
        <w:pStyle w:val="Heading2"/>
      </w:pPr>
      <w:r>
        <w:rPr>
          <w:b/>
          <w:bCs/>
          <w:color w:val="2E75B6"/>
        </w:rPr>
        <w:t xml:space="preserve">7.5 HEARTBEAT Feedback Loop</w:t>
      </w:r>
    </w:p>
    <w:p>
      <w:pPr>
        <w:spacing w:before="80" w:after="80"/>
      </w:pPr>
      <w:r>
        <w:rPr>
          <w:sz w:val="22"/>
          <w:szCs w:val="22"/>
        </w:rPr>
        <w:t xml:space="preserve">HEARTBEAT is the behavioral signal architecture that connects the learning experience to downstream personalization and action. It captures:</w:t>
      </w:r>
    </w:p>
    <w:p>
      <w:pPr>
        <w:spacing w:before="60" w:after="0"/>
      </w:pPr>
      <w:r>
        <w:t xml:space="preserve"/>
      </w:r>
    </w:p>
    <w:p>
      <w:pPr>
        <w:pStyle w:val="ListParagraph"/>
        <w:numPr>
          <w:ilvl w:val="0"/>
          <w:numId w:val="2"/>
        </w:numPr>
        <w:spacing w:before="40" w:after="40"/>
      </w:pPr>
      <w:r>
        <w:rPr>
          <w:b w:val="false"/>
          <w:bCs w:val="false"/>
          <w:sz w:val="22"/>
          <w:szCs w:val="22"/>
        </w:rPr>
        <w:t xml:space="preserve">Content engagement depth (completion rate, revisit behavior, note-taking)</w:t>
      </w:r>
    </w:p>
    <w:p>
      <w:pPr>
        <w:pStyle w:val="ListParagraph"/>
        <w:numPr>
          <w:ilvl w:val="0"/>
          <w:numId w:val="2"/>
        </w:numPr>
        <w:spacing w:before="40" w:after="40"/>
      </w:pPr>
      <w:r>
        <w:rPr>
          <w:b w:val="false"/>
          <w:bCs w:val="false"/>
          <w:sz w:val="22"/>
          <w:szCs w:val="22"/>
        </w:rPr>
        <w:t xml:space="preserve">Affective response signals (explicit ratings, implicit behavioral indicators)</w:t>
      </w:r>
    </w:p>
    <w:p>
      <w:pPr>
        <w:pStyle w:val="ListParagraph"/>
        <w:numPr>
          <w:ilvl w:val="0"/>
          <w:numId w:val="2"/>
        </w:numPr>
        <w:spacing w:before="40" w:after="40"/>
      </w:pPr>
      <w:r>
        <w:rPr>
          <w:b w:val="false"/>
          <w:bCs w:val="false"/>
          <w:sz w:val="22"/>
          <w:szCs w:val="22"/>
        </w:rPr>
        <w:t xml:space="preserve">Progression signals (topic breadth vs. depth preference, challenge uptake)</w:t>
      </w:r>
    </w:p>
    <w:p>
      <w:pPr>
        <w:spacing w:before="80" w:after="0"/>
      </w:pPr>
      <w:r>
        <w:t xml:space="preserve"/>
      </w:r>
    </w:p>
    <w:p>
      <w:pPr>
        <w:spacing w:before="80" w:after="80"/>
      </w:pPr>
      <w:r>
        <w:rPr>
          <w:sz w:val="22"/>
          <w:szCs w:val="22"/>
        </w:rPr>
        <w:t xml:space="preserve">These signals feed back into the Money Buddy persona model to continuously refine content delivery. In Phase 2, HEARTBEAT output is designed to trigger GP Platform calls-to-action, bridging the gap between financial education and financial product adoption. FusionIQ consumption data is also designed to feed back into the user knowledge model in later phases.</w:t>
      </w:r>
    </w:p>
    <w:p>
      <w:pPr>
        <w:spacing w:before="140" w:after="0"/>
      </w:pPr>
      <w:r>
        <w:t xml:space="preserve"/>
      </w:r>
    </w:p>
    <w:p>
      <w:pPr>
        <w:pStyle w:val="Heading2"/>
      </w:pPr>
      <w:r>
        <w:rPr>
          <w:b/>
          <w:bCs/>
          <w:color w:val="2E75B6"/>
        </w:rPr>
        <w:t xml:space="preserve">7.6 Intake &amp; Onboarding System</w:t>
      </w:r>
    </w:p>
    <w:p>
      <w:pPr>
        <w:spacing w:before="80" w:after="80"/>
      </w:pPr>
      <w:r>
        <w:rPr>
          <w:sz w:val="22"/>
          <w:szCs w:val="22"/>
        </w:rPr>
        <w:t xml:space="preserve">The intake system is intentionally designed to feel like the beginning of a conversation, not a questionnaire. Key design principles:</w:t>
      </w:r>
    </w:p>
    <w:p>
      <w:pPr>
        <w:spacing w:before="60" w:after="0"/>
      </w:pPr>
      <w:r>
        <w:t xml:space="preserve"/>
      </w:r>
    </w:p>
    <w:p>
      <w:pPr>
        <w:pStyle w:val="ListParagraph"/>
        <w:numPr>
          <w:ilvl w:val="0"/>
          <w:numId w:val="2"/>
        </w:numPr>
        <w:spacing w:before="40" w:after="40"/>
      </w:pPr>
      <w:r>
        <w:rPr>
          <w:b w:val="false"/>
          <w:bCs w:val="false"/>
          <w:sz w:val="22"/>
          <w:szCs w:val="22"/>
        </w:rPr>
        <w:t xml:space="preserve">The front door is emotional: users are invited to picture their life and share their dream before any financial data is requested.</w:t>
      </w:r>
    </w:p>
    <w:p>
      <w:pPr>
        <w:pStyle w:val="ListParagraph"/>
        <w:numPr>
          <w:ilvl w:val="0"/>
          <w:numId w:val="2"/>
        </w:numPr>
        <w:spacing w:before="40" w:after="40"/>
      </w:pPr>
      <w:r>
        <w:rPr>
          <w:b w:val="false"/>
          <w:bCs w:val="false"/>
          <w:sz w:val="22"/>
          <w:szCs w:val="22"/>
        </w:rPr>
        <w:t xml:space="preserve">Seed questions are minimal (1–3) and use Y/N or simple choice formats. No financial jargon is required.</w:t>
      </w:r>
    </w:p>
    <w:p>
      <w:pPr>
        <w:pStyle w:val="ListParagraph"/>
        <w:numPr>
          <w:ilvl w:val="0"/>
          <w:numId w:val="2"/>
        </w:numPr>
        <w:spacing w:before="40" w:after="40"/>
      </w:pPr>
      <w:r>
        <w:rPr>
          <w:b w:val="false"/>
          <w:bCs w:val="false"/>
          <w:sz w:val="22"/>
          <w:szCs w:val="22"/>
        </w:rPr>
        <w:t xml:space="preserve">An anonymous/low-information path is fully supported with discovery features (“I’m Feeling Lucky,” “Word of the Day,” community trend signals) that provide immediate value without sign-in.</w:t>
      </w:r>
    </w:p>
    <w:p>
      <w:pPr>
        <w:pStyle w:val="ListParagraph"/>
        <w:numPr>
          <w:ilvl w:val="0"/>
          <w:numId w:val="2"/>
        </w:numPr>
        <w:spacing w:before="40" w:after="40"/>
      </w:pPr>
      <w:r>
        <w:rPr>
          <w:b w:val="false"/>
          <w:bCs w:val="false"/>
          <w:sz w:val="22"/>
          <w:szCs w:val="22"/>
        </w:rPr>
        <w:t xml:space="preserve">Multiple intake modalities are available: Conversational Q&amp;A (Day 1), Would You Rather binary-choice format (Day 1), and Video Diary self-recording (Post Day 1).</w:t>
      </w:r>
    </w:p>
    <w:p>
      <w:pPr>
        <w:spacing w:before="140" w:after="0"/>
      </w:pPr>
      <w:r>
        <w:t xml:space="preserve"/>
      </w:r>
    </w:p>
    <w:p>
      <w:pPr>
        <w:pStyle w:val="Heading2"/>
      </w:pPr>
      <w:r>
        <w:rPr>
          <w:b/>
          <w:bCs/>
          <w:color w:val="2E75B6"/>
        </w:rPr>
        <w:t xml:space="preserve">7.7 Target Personas</w:t>
      </w:r>
    </w:p>
    <w:p>
      <w:pPr>
        <w:spacing w:before="80" w:after="80"/>
      </w:pPr>
      <w:r>
        <w:rPr>
          <w:sz w:val="22"/>
          <w:szCs w:val="22"/>
        </w:rPr>
        <w:t xml:space="preserve">aRCHie is designed with the following primary user personas, each with distinct financial literacy profiles, life event triggers, and content needs: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New Military Members</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First financial independence; BAH/BAS navigation; TSP enrollment; debt management basics.</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Transitioning Veterans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Civilian employment transition; GI Bill benefits; retirement income planning; wealth-building.</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Military Spouses</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Variable/single-income household management; PCS financial planning; career re-entry.</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Career Service Members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Mid-career wealth optimization; retirement planning (BRS vs. legacy); family financial planning.</w:t>
            </w:r>
          </w:p>
        </w:tc>
      </w:tr>
    </w:tbl>
    <w:p>
      <w:pPr>
        <w:spacing w:before="140" w:after="0"/>
      </w:pPr>
      <w:r>
        <w:t xml:space="preserve"/>
      </w:r>
    </w:p>
    <w:p>
      <w:pPr>
        <w:pStyle w:val="Heading2"/>
      </w:pPr>
      <w:r>
        <w:rPr>
          <w:b/>
          <w:bCs/>
          <w:color w:val="2E75B6"/>
        </w:rPr>
        <w:t xml:space="preserve">7.8 Integration Architecture &amp; Delivery Phase Plan</w:t>
      </w:r>
    </w:p>
    <w:p>
      <w:pPr>
        <w:spacing w:before="80" w:after="80"/>
      </w:pPr>
      <w:r>
        <w:rPr>
          <w:sz w:val="22"/>
          <w:szCs w:val="22"/>
        </w:rPr>
        <w:t xml:space="preserve">aRCHie is architected as a modular system with a phased delivery plan across six consumer outputs, as reflected in the system architecture diagram. Phase designations (Q1, Q1-2, Q3-4) indicate planned delivery quarters: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Credit Union Embedded (Q1)</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Day 1 integration into Credit Union customer-facing platform. White-label articles and brand-neutral content available at launch.</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Custom Content by Persona (Q1-2)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Persona-driven content personalization via Money Buddy diagnostic engine. Custom article lists assembled dynamically per customer type.</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Teach GPT / Podcasts (Q1-2)</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AI-narrated podcast-format content delivery. Lists dynamically assembled per customer type. Feeds from the same central database as article content.</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Agentic AI Chat / RAG (Q3-4)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Money Buddy grounded in database via retrieval-augmented generation. Answers drawn from validated content corpus rather than raw model knowledge.</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Learning Path (Q1 / Future)</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Dynamically generated personalized learning journey. Driven by HEARTBEAT signals and Money Buddy persona model. Designated as planned future capability.</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GP Platform / Fidelity Products (Later)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HEARTBEAT ACTION output triggers GP Platform calls-to-action, bridging financial education to financial product adoption.</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Standalone Product (Planned)</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Independent distribution via app stores (iOS/Android) without requiring Credit Union or Fidelity platform integration.</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FCAT Products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The content database and processing pipeline serve as the foundation for the broader FCAT product suite, enabling reuse of validated content across multiple Fidelity products.</w:t>
            </w:r>
          </w:p>
        </w:tc>
      </w:tr>
    </w:tbl>
    <w:p>
      <w:pPr>
        <w:spacing w:before="240" w:after="0"/>
      </w:pPr>
      <w:r>
        <w:t xml:space="preserve"/>
      </w:r>
    </w:p>
    <w:p>
      <w:pPr>
        <w:pBdr>
          <w:bottom w:val="single" w:color="2E75B6"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b/>
                <w:bCs/>
                <w:caps/>
                <w:color w:val="FFFFFF"/>
                <w:sz w:val="24"/>
                <w:szCs w:val="24"/>
              </w:rPr>
              <w:t xml:space="preserve">Inventor Information &amp; Signatures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Inventor Name(s)</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___________________________</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Title / 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___________________________</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Department</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___________________________</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Date of Disclosure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___________________________</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Inventor Signature</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___________________________</w:t>
            </w:r>
          </w:p>
        </w:tc>
      </w:tr>
      <w:tr>
        <w:tc>
          <w:tcPr>
            <w:tcW w:type="dxa" w:w="2800"/>
            <w:tcBorders>
              <w:top w:val="single" w:color="CCCCCC" w:sz="1"/>
              <w:left w:val="single" w:color="CCCCCC" w:sz="1"/>
              <w:bottom w:val="single" w:color="CCCCCC" w:sz="1"/>
              <w:right w:val="single" w:color="CCCCCC" w:sz="1"/>
            </w:tcBorders>
            <w:shd w:fill="F9FBFF" w:val="clear"/>
            <w:tcMar>
              <w:top w:type="dxa" w:w="80"/>
              <w:left w:type="dxa" w:w="160"/>
              <w:bottom w:type="dxa" w:w="80"/>
              <w:right w:type="dxa" w:w="120"/>
            </w:tcMar>
          </w:tcPr>
          <w:p>
            <w:r>
              <w:rPr>
                <w:b/>
                <w:bCs/>
                <w:sz w:val="21"/>
                <w:szCs w:val="21"/>
              </w:rPr>
              <w:t xml:space="preserve">Reviewed By (IP Team)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sz w:val="21"/>
                <w:szCs w:val="21"/>
              </w:rPr>
              <w:t xml:space="preserve">___________________________</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b/>
                <w:bCs/>
                <w:sz w:val="21"/>
                <w:szCs w:val="21"/>
              </w:rPr>
              <w:t xml:space="preserve">Review Date</w:t>
            </w:r>
          </w:p>
        </w:tc>
        <w:tc>
          <w:tcPr>
            <w:tcW w:type="dxa" w:w="6560"/>
            <w:tcBorders>
              <w:top w:val="single" w:color="CCCCCC" w:sz="1"/>
              <w:left w:val="single" w:color="CCCCCC" w:sz="1"/>
              <w:bottom w:val="single" w:color="CCCCCC" w:sz="1"/>
              <w:right w:val="single" w:color="CCCCCC" w:sz="1"/>
            </w:tcBorders>
            <w:shd w:fill="FAFCFF" w:val="clear"/>
            <w:tcMar>
              <w:top w:type="dxa" w:w="80"/>
              <w:left w:type="dxa" w:w="160"/>
              <w:bottom w:type="dxa" w:w="80"/>
              <w:right w:type="dxa" w:w="120"/>
            </w:tcMar>
          </w:tcPr>
          <w:p>
            <w:r>
              <w:rPr>
                <w:sz w:val="21"/>
                <w:szCs w:val="21"/>
              </w:rPr>
              <w:t xml:space="preserve">___________________________</w:t>
            </w:r>
          </w:p>
        </w:tc>
      </w:tr>
    </w:tbl>
    <w:p>
      <w:pPr>
        <w:spacing w:before="200" w:after="0"/>
      </w:pPr>
      <w:r>
        <w:t xml:space="preserve"/>
      </w:r>
    </w:p>
    <w:p>
      <w:pPr>
        <w:spacing w:before="80" w:after="80"/>
      </w:pPr>
      <w:r>
        <w:rPr>
          <w:i/>
          <w:iCs/>
          <w:color w:val="777777"/>
          <w:sz w:val="20"/>
          <w:szCs w:val="20"/>
        </w:rPr>
        <w:t xml:space="preserve">By signing above, inventor(s) confirm that the information provided is accurate to the best of their knowledge, and that they are not aware of any undisclosed prior art that would affect the novelty of this invention.</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before="80"/>
    </w:pPr>
    <w:r>
      <w:rPr>
        <w:i/>
        <w:iCs/>
        <w:color w:val="888888"/>
        <w:sz w:val="16"/>
        <w:szCs w:val="16"/>
      </w:rPr>
      <w:t xml:space="preserve">CONFIDENTIAL — FIDELITY INVESTMENTS IP</w:t>
    </w:r>
    <w:r>
      <w:rPr>
        <w:color w:val="888888"/>
        <w:sz w:val="16"/>
        <w:szCs w:val="16"/>
      </w:rPr>
      <w:t xml:space="preserve">	Page [See footer]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pPr>
    <w:r>
      <w:rPr>
        <w:b/>
        <w:bCs/>
        <w:color w:val="1B3A6B"/>
        <w:sz w:val="18"/>
        <w:szCs w:val="18"/>
      </w:rPr>
      <w:t xml:space="preserve">IDENTITY DYNAMICS QUESTIONNAIRE (IDQ)</w:t>
    </w:r>
    <w:r>
      <w:rPr>
        <w:color w:val="666666"/>
        <w:sz w:val="18"/>
        <w:szCs w:val="18"/>
      </w:rPr>
      <w:t xml:space="preserve">   |   aRCHie — AI-Powered Financial Learning Companion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60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6B"/>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2026-03-09T21:39:59.510Z</dcterms:created>
  <dcterms:modified xsi:type="dcterms:W3CDTF">2026-03-09T21:39:59.511Z</dcterms:modified>
</cp:coreProperties>
</file>

<file path=docProps/custom.xml><?xml version="1.0" encoding="utf-8"?>
<Properties xmlns="http://schemas.openxmlformats.org/officeDocument/2006/custom-properties" xmlns:vt="http://schemas.openxmlformats.org/officeDocument/2006/docPropsVTypes"/>
</file>