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基于 Helix 的跨地域异构 GPU 碳感知推理</w:t>
        <w:br/>
        <w:t>完整代码实施计划</w:t>
      </w:r>
    </w:p>
    <w:p>
      <w:pPr>
        <w:jc w:val="center"/>
      </w:pPr>
      <w:r>
        <w:rPr>
          <w:b/>
          <w:sz w:val="24"/>
        </w:rPr>
        <w:t>面向编码 AI 的可执行版本 | Modeling · Placement · Scheduling</w:t>
      </w:r>
    </w:p>
    <w:p>
      <w:pPr>
        <w:jc w:val="center"/>
      </w:pPr>
      <w:r>
        <w:rPr>
          <w:i/>
        </w:rPr>
        <w:t>版本：Phase 3.5 之后的主线收敛版（2026-09）</w:t>
      </w:r>
    </w:p>
    <w:p>
      <w:pPr>
        <w:pStyle w:val="Heading1"/>
      </w:pPr>
      <w:r>
        <w:t>0. 文档目的与执行原则</w:t>
      </w:r>
    </w:p>
    <w:p>
      <w:r>
        <w:t>这份文档不是新的“研究脑暴”，而是现有 carbon-helix-sim 的施工说明。编码 AI 的任务是沿着已经确定的三条主线继续实现：①阶段感知碳成本建模；②碳瓶颈引导的模型放置；③SLO 感知的碳流请求调度。不得擅自扩展为第四条主线。</w:t>
      </w:r>
    </w:p>
    <w:p>
      <w:pPr>
        <w:pStyle w:val="ListBullet"/>
        <w:spacing w:after="40"/>
      </w:pPr>
      <w:r>
        <w:t>先保住已有正确性：任何阶段开始前先跑全量测试；最新本地状态应为 49 passed。若实际仓库不是 49 passed，以实际测试输出为准并记录差异。</w:t>
      </w:r>
    </w:p>
    <w:p>
      <w:pPr>
        <w:pStyle w:val="ListBullet"/>
        <w:spacing w:after="40"/>
      </w:pPr>
      <w:r>
        <w:t>Phase 3.5 是“静态机制验证”，不是最终现实结论。后续实现必须复用其 Routing vs Joint Placement 评价框架，而不是推倒重来。</w:t>
      </w:r>
    </w:p>
    <w:p>
      <w:pPr>
        <w:pStyle w:val="ListBullet"/>
        <w:spacing w:after="40"/>
      </w:pPr>
      <w:r>
        <w:t>MILP Joint Placement 作为 Oracle / reference，不再把“再写一个更大的 MILP”当作主要贡献。真正的方法是 flow 暴露瓶颈后进行局部 placement 搜索。</w:t>
      </w:r>
    </w:p>
    <w:p>
      <w:pPr>
        <w:pStyle w:val="ListBullet"/>
        <w:spacing w:after="40"/>
      </w:pPr>
      <w:r>
        <w:t>动态 CI 首先服务于请求调度实验。Migration / Hysteresis 可以作为后续控制机制，但本轮不独立扩张为第四个研究挑战。</w:t>
      </w:r>
    </w:p>
    <w:p>
      <w:pPr>
        <w:pStyle w:val="ListBullet"/>
        <w:spacing w:after="40"/>
      </w:pPr>
      <w:r>
        <w:t>每一阶段必须具备：代码、单元测试、最小实验、结果 CSV、README/报告更新。只有验收通过才能进入下一阶段。</w:t>
      </w:r>
    </w:p>
    <w:p>
      <w:pPr>
        <w:pStyle w:val="Heading1"/>
      </w:pPr>
      <w:r>
        <w:t>1. 当前状态冻结（必须先确认）</w:t>
      </w:r>
    </w:p>
    <w:p>
      <w:r>
        <w:t>根据最新运行结果，Phase 3.5 已完整执行。以下结果作为“应复现的研究状态”，编码 AI 必须先读取本地实际文件验证，不能仅把这些数字硬编码进代码。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43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657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当前结果/含义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测试</w:t>
            </w:r>
          </w:p>
        </w:tc>
        <w:tc>
          <w:tcPr>
            <w:tcW w:type="dxa" w:w="6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49 passed（以本地实际执行为最终依据）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完整实验</w:t>
            </w:r>
          </w:p>
        </w:tc>
        <w:tc>
          <w:tcPr>
            <w:tcW w:type="dxa" w:w="6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930 个优化点；joint_carbon &lt;= routing_carbon 在全部点成立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对称基线</w:t>
            </w:r>
          </w:p>
        </w:tc>
        <w:tc>
          <w:tcPr>
            <w:tcW w:type="dxa" w:w="6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F_H=164，F_target=155.8，最大 Gap=0.4244%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rho</w:t>
            </w:r>
          </w:p>
        </w:tc>
        <w:tc>
          <w:tcPr>
            <w:tcW w:type="dxa" w:w="6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敏感性非单调；rho=0.98/1.00 的最大 Gap 为 0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GPU 场景</w:t>
            </w:r>
          </w:p>
        </w:tc>
        <w:tc>
          <w:tcPr>
            <w:tcW w:type="dxa" w:w="6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moderate asymmetric 1.6785%；high asymmetric 8.9217%；commodity region 0%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全局最大 Gap</w:t>
            </w:r>
          </w:p>
        </w:tc>
        <w:tc>
          <w:tcPr>
            <w:tcW w:type="dxa" w:w="6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18.3907%，high_asymmetric，20 token/s (=2.56 Mbps)，CI_A/CI_B=4.0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能耗单因素</w:t>
            </w:r>
          </w:p>
        </w:tc>
        <w:tc>
          <w:tcPr>
            <w:tcW w:type="dxa" w:w="6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最大敏感性约 0.6898%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Placement 切换</w:t>
            </w:r>
          </w:p>
        </w:tc>
        <w:tc>
          <w:tcPr>
            <w:tcW w:type="dxa" w:w="6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309 次 signature change：42 次有效非退化成本交叉，248 次等价/退化切换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研究结论</w:t>
            </w:r>
          </w:p>
        </w:tc>
        <w:tc>
          <w:tcPr>
            <w:tcW w:type="dxa" w:w="6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Placement Necessity Region 存在，但集中在预定义高 GPU 非对称 + 特定网络约束组合；仍是 synthetic scenarios</w:t>
            </w:r>
          </w:p>
        </w:tc>
      </w:tr>
    </w:tbl>
    <w:p>
      <w:pPr>
        <w:pStyle w:val="Heading2"/>
      </w:pPr>
      <w:r>
        <w:t>1.1 现有代码主目录</w:t>
      </w:r>
    </w:p>
    <w:p>
      <w:pPr>
        <w:pStyle w:val="CodeBlock"/>
      </w:pPr>
      <w:r>
        <w:t>carbon-helix-sim/</w:t>
        <w:br/>
        <w:t>├─ configs/</w:t>
        <w:br/>
        <w:t>├─ experiments/</w:t>
        <w:br/>
        <w:t>├─ results/</w:t>
        <w:br/>
        <w:t>├─ src/</w:t>
        <w:br/>
        <w:t>│  ├─ analysis/</w:t>
        <w:br/>
        <w:t>│  ├─ carbon/</w:t>
        <w:br/>
        <w:t>│  ├─ graph/</w:t>
        <w:br/>
        <w:t>│  ├─ optimizer/</w:t>
        <w:br/>
        <w:t>│  ├─ simulator/</w:t>
        <w:br/>
        <w:t>│  └─ utils/</w:t>
        <w:br/>
        <w:t>└─ tests/</w:t>
      </w:r>
    </w:p>
    <w:p>
      <w:r>
        <w:t>已有核心模块包括 carbon/model.py、graph/serving_graph.py、optimizer/carbon_flow.py、optimizer/maxflow.py、optimizer/placement_milp.py，以及 breakpoint/routing_gap 分析模块。新的实现优先在这些接口上扩展，避免复制一套平行框架。</w:t>
      </w:r>
    </w:p>
    <w:p>
      <w:pPr>
        <w:pStyle w:val="Heading1"/>
      </w:pPr>
      <w:r>
        <w:t>2. 最终系统主线与职责边界</w:t>
      </w:r>
    </w:p>
    <w:p>
      <w:r>
        <w:t>系统采用“双时间尺度”结构：Placement 决定可行执行图，Scheduling 在固定图上快速适应 CI 与请求变化。三个挑战必须共享同一套 Carbon Cost 与 Flow 表达。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587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挑战</w:t>
            </w:r>
          </w:p>
        </w:tc>
        <w:tc>
          <w:tcPr>
            <w:tcW w:type="dxa" w:w="187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核心问题</w:t>
            </w:r>
          </w:p>
        </w:tc>
        <w:tc>
          <w:tcPr>
            <w:tcW w:type="dxa" w:w="289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13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时间尺度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主要输出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Challenge 1 建模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碳排怎么算？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Stage-aware Carbon Flow Model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基础模型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统一节点/路径碳成本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Challenge 2 放置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模型怎么放？何时需要动？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Placement Necessity + Carbon-Bottleneck-Guided Placement (CBGP)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慢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低碳可行执行图 / 局部 layer boundary 调整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Challenge 3 调度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请求怎么走？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Global Carbon Flow + SLO-aware Per-request Dispatch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快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路径流量配额 + 在线请求分派</w:t>
            </w:r>
          </w:p>
        </w:tc>
      </w:tr>
    </w:tbl>
    <w:p>
      <w:pPr>
        <w:pStyle w:val="Heading1"/>
      </w:pPr>
      <w:r>
        <w:t>3. 统一符号与必须保持的优化关系</w:t>
      </w:r>
    </w:p>
    <w:p>
      <w:r>
        <w:t>编码 AI 不得在不同阶段偷偷更换指标定义。所有实验至少保存 routing_carbon、joint_carbon、proposed_carbon、throughput/SLO 相关指标及 placement signature。</w:t>
      </w:r>
    </w:p>
    <w:p>
      <w:pPr>
        <w:pStyle w:val="CodeBlock"/>
      </w:pPr>
      <w:r>
        <w:t>P_H      : Helix 吞吐优先 Placement</w:t>
        <w:br/>
        <w:t>F_H      : P_H 下的 Helix 最大吞吐</w:t>
        <w:br/>
        <w:t>F_target : rho * F_H</w:t>
        <w:br/>
        <w:t>C_R      : 固定 P_H，仅优化 Carbon-aware Routing 的最小碳成本</w:t>
        <w:br/>
        <w:t>C_J      : Placement + Routing 联合优化的 Oracle 最小碳成本</w:t>
        <w:br/>
        <w:t>Gap      : (C_R - C_J) / C_R</w:t>
        <w:br/>
        <w:t>R_PN     : { x | Gap(x) &gt;= epsilon }</w:t>
        <w:br/>
        <w:br/>
        <w:t>对 Proposed Placement P_prop：</w:t>
        <w:br/>
        <w:t>C_J &lt;= C_prop &lt;= C_R    （候选集合必须包含当前 baseline placement，保证不会比 routing baseline 更差）</w:t>
      </w:r>
    </w:p>
    <w:p>
      <w:r>
        <w:t>若由于求解容差出现极小违反，必须使用显式 tolerance，并在结果中记录 solver status / tolerance，而不是静默截断。</w:t>
      </w:r>
    </w:p>
    <w:p>
      <w:pPr>
        <w:pStyle w:val="Heading1"/>
      </w:pPr>
      <w:r>
        <w:t>4. Phase 0：仓库审计与冻结基线</w:t>
      </w:r>
    </w:p>
    <w:p>
      <w:pPr>
        <w:pStyle w:val="Heading2"/>
      </w:pPr>
      <w:r>
        <w:t>4.1 目标</w:t>
      </w:r>
    </w:p>
    <w:p>
      <w:r>
        <w:t>先确认现有 Phase 3.5 的文件、测试与结果均可追踪，避免在未知基线上继续写代码。</w:t>
      </w:r>
    </w:p>
    <w:p>
      <w:pPr>
        <w:pStyle w:val="Heading2"/>
      </w:pPr>
      <w:r>
        <w:t>4.2 操作步骤</w:t>
      </w:r>
    </w:p>
    <w:p>
      <w:pPr>
        <w:spacing w:after="40"/>
        <w:ind w:left="85" w:firstLine="0"/>
      </w:pPr>
      <w:r>
        <w:t>1.  只在 carbon-helix-sim 内工作；不要先改原始 Helix simulator。</w:t>
      </w:r>
    </w:p>
    <w:p>
      <w:pPr>
        <w:spacing w:after="40"/>
        <w:ind w:left="85" w:firstLine="0"/>
      </w:pPr>
      <w:r>
        <w:t>2.  运行 pytest -q，保存完整输出。</w:t>
      </w:r>
    </w:p>
    <w:p>
      <w:pPr>
        <w:spacing w:after="40"/>
        <w:ind w:left="85" w:firstLine="0"/>
      </w:pPr>
      <w:r>
        <w:t>3.  检查 results/phase35_report.md、phase35_summary.csv、phase35_validated_boundaries.csv 与 configs/phase35_sensitivity.yaml 是否存在；若仓库版本没有这些文件，明确记录“本地缺失”，不要伪造。</w:t>
      </w:r>
    </w:p>
    <w:p>
      <w:pPr>
        <w:spacing w:after="40"/>
        <w:ind w:left="85" w:firstLine="0"/>
      </w:pPr>
      <w:r>
        <w:t>4.  读取 README、pyproject/requirements、现有 experiment 脚本，画出模块调用关系（写入 docs/implementation_status.md 或 README 新章节）。</w:t>
      </w:r>
    </w:p>
    <w:p>
      <w:pPr>
        <w:spacing w:after="40"/>
        <w:ind w:left="85" w:firstLine="0"/>
      </w:pPr>
      <w:r>
        <w:t>5.  对 Phase 3.5 关键数值做自动 sanity check：joint_carbon &lt;= routing_carbon；Gap 非负（容差内）；退化切换与有效 crossing 的分类可复算。</w:t>
      </w:r>
    </w:p>
    <w:p>
      <w:pPr>
        <w:spacing w:after="40"/>
        <w:ind w:left="85" w:firstLine="0"/>
      </w:pPr>
      <w:r>
        <w:t>6.  创建新的实现分支或至少在报告中记录当前 commit/hash（如果仓库没有 git 元数据，则记录时间戳和测试结果）。</w:t>
      </w:r>
    </w:p>
    <w:p>
      <w:pPr>
        <w:pStyle w:val="Heading2"/>
      </w:pPr>
      <w:r>
        <w:t>4.3 验收</w:t>
      </w:r>
    </w:p>
    <w:p>
      <w:pPr>
        <w:pStyle w:val="ListBullet"/>
        <w:spacing w:after="40"/>
      </w:pPr>
      <w:r>
        <w:t>全量旧测试通过；若不是 49 passed，停止新增功能，先定位版本差异。</w:t>
      </w:r>
    </w:p>
    <w:p>
      <w:pPr>
        <w:pStyle w:val="ListBullet"/>
        <w:spacing w:after="40"/>
      </w:pPr>
      <w:r>
        <w:t>Phase 3.5 结果可以由脚本重新汇总，而不是只依赖静态 CSV。</w:t>
      </w:r>
    </w:p>
    <w:p>
      <w:pPr>
        <w:pStyle w:val="ListBullet"/>
        <w:spacing w:after="40"/>
      </w:pPr>
      <w:r>
        <w:t>任何后续新增结果都使用新的文件名，禁止覆盖 Phase 3.5 原始结果。</w:t>
      </w:r>
    </w:p>
    <w:p>
      <w:pPr>
        <w:pStyle w:val="Heading1"/>
      </w:pPr>
      <w:r>
        <w:t>5. Phase 1：Challenge 1 — Stage-aware Carbon Model 完善</w:t>
      </w:r>
    </w:p>
    <w:p>
      <w:pPr>
        <w:pStyle w:val="Heading2"/>
      </w:pPr>
      <w:r>
        <w:t>5.1 目标</w:t>
      </w:r>
    </w:p>
    <w:p>
      <w:r>
        <w:t>把当前 carbon cost 从“能跑实验的简化量”整理成后续 Placement 和 Scheduling 可共同调用的稳定接口。此阶段重在一致性与可替换性，不追求复杂物理模型。</w:t>
      </w:r>
    </w:p>
    <w:p>
      <w:pPr>
        <w:pStyle w:val="Heading2"/>
      </w:pPr>
      <w:r>
        <w:t>5.2 建议文件修改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618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动作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src/carbon/model.py</w:t>
            </w:r>
          </w:p>
        </w:tc>
        <w:tc>
          <w:tcPr>
            <w:tcW w:type="dxa" w:w="6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保留已有逻辑，扩展为统一 CarbonCostModel；支持 region CI、GPU profile、stage、可选 network energy。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src/carbon/config.py</w:t>
            </w:r>
          </w:p>
        </w:tc>
        <w:tc>
          <w:tcPr>
            <w:tcW w:type="dxa" w:w="6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集中处理单位、默认项和校验；禁止在 optimizer 中散落 CI/energy 换算。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configs/energy_profiles.yaml</w:t>
            </w:r>
          </w:p>
        </w:tc>
        <w:tc>
          <w:tcPr>
            <w:tcW w:type="dxa" w:w="6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明确字段单位；prefill/decode 可分开；旧字段兼容。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src/carbon/trace.py（新增）</w:t>
            </w:r>
          </w:p>
        </w:tc>
        <w:tc>
          <w:tcPr>
            <w:tcW w:type="dxa" w:w="6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统一加载静态 CI、synthetic trace、CSV trace；提供 value_at(t) / window(t0,t1)。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tests/test_carbon_model.py</w:t>
            </w:r>
          </w:p>
        </w:tc>
        <w:tc>
          <w:tcPr>
            <w:tcW w:type="dxa" w:w="6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补充单位、一致性、stage、trace、旧配置兼容测试。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tests/test_carbon_trace.py（新增）</w:t>
            </w:r>
          </w:p>
        </w:tc>
        <w:tc>
          <w:tcPr>
            <w:tcW w:type="dxa" w:w="6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测试边界时间、插值/阶梯语义、非法数据。</w:t>
            </w:r>
          </w:p>
        </w:tc>
      </w:tr>
    </w:tbl>
    <w:p>
      <w:pPr>
        <w:pStyle w:val="Heading2"/>
      </w:pPr>
      <w:r>
        <w:t>5.3 推荐接口</w:t>
      </w:r>
    </w:p>
    <w:p>
      <w:pPr>
        <w:pStyle w:val="CodeBlock"/>
      </w:pPr>
      <w:r>
        <w:t>class CarbonCostModel:</w:t>
        <w:br/>
        <w:t xml:space="preserve">    def compute_energy_j(self, gpu_id, stage, workload) -&gt; float: ...</w:t>
        <w:br/>
        <w:t xml:space="preserve">    def compute_compute_carbon_g(self, gpu_id, region, stage, workload, t) -&gt; float: ...</w:t>
        <w:br/>
        <w:t xml:space="preserve">    def compute_network_carbon_g(self, edge, bytes_tx, t) -&gt; float: ...  # 可选，默认 0</w:t>
        <w:br/>
        <w:t xml:space="preserve">    def compute_path_carbon_g(self, path, request_profile, t) -&gt; float: ...</w:t>
        <w:br/>
        <w:br/>
        <w:t>class CarbonIntensityTrace:</w:t>
        <w:br/>
        <w:t xml:space="preserve">    def value_at(self, region: str, t_s: float) -&gt; float: ...   # gCO2/kWh</w:t>
        <w:br/>
        <w:t xml:space="preserve">    def window(self, t0_s: float, t1_s: float): ...</w:t>
      </w:r>
    </w:p>
    <w:p>
      <w:pPr>
        <w:pStyle w:val="Heading2"/>
      </w:pPr>
      <w:r>
        <w:t>5.4 必须遵守的单位</w:t>
      </w:r>
    </w:p>
    <w:p>
      <w:pPr>
        <w:pStyle w:val="ListBullet"/>
        <w:spacing w:after="40"/>
      </w:pPr>
      <w:r>
        <w:t>CI：gCO2/kWh。</w:t>
      </w:r>
    </w:p>
    <w:p>
      <w:pPr>
        <w:pStyle w:val="ListBullet"/>
        <w:spacing w:after="40"/>
      </w:pPr>
      <w:r>
        <w:t>Energy：J。换算：kWh = J / 3.6e6。</w:t>
      </w:r>
    </w:p>
    <w:p>
      <w:pPr>
        <w:pStyle w:val="ListBullet"/>
        <w:spacing w:after="40"/>
      </w:pPr>
      <w:r>
        <w:t>Carbon：gCO2。内部统一使用一种单位；CSV 列名写清单位。</w:t>
      </w:r>
    </w:p>
    <w:p>
      <w:pPr>
        <w:pStyle w:val="ListBullet"/>
        <w:spacing w:after="40"/>
      </w:pPr>
      <w:r>
        <w:t>网络碳成本如果没有可信数据，默认关闭；网络仍作为带宽/时延约束，不能为了“模型完整”随便填一个能耗系数。</w:t>
      </w:r>
    </w:p>
    <w:p>
      <w:pPr>
        <w:pStyle w:val="Heading2"/>
      </w:pPr>
      <w:r>
        <w:t>5.5 验收</w:t>
      </w:r>
    </w:p>
    <w:p>
      <w:pPr>
        <w:pStyle w:val="ListBullet"/>
        <w:spacing w:after="40"/>
      </w:pPr>
      <w:r>
        <w:t>常量 CI + 旧 energy profile 时，Phase 3/3.5 的已有 carbon 数值在容差内保持一致。</w:t>
      </w:r>
    </w:p>
    <w:p>
      <w:pPr>
        <w:pStyle w:val="ListBullet"/>
        <w:spacing w:after="40"/>
      </w:pPr>
      <w:r>
        <w:t>prefill/decode profile 在受控测试中能产生可解释差异。</w:t>
      </w:r>
    </w:p>
    <w:p>
      <w:pPr>
        <w:pStyle w:val="ListBullet"/>
        <w:spacing w:after="40"/>
      </w:pPr>
      <w:r>
        <w:t>动态 trace 改变 CI 后，节点/路径 carbon cost 能随时间变化，但 topology/capacity 不被误改。</w:t>
      </w:r>
    </w:p>
    <w:p>
      <w:pPr>
        <w:pStyle w:val="Heading1"/>
      </w:pPr>
      <w:r>
        <w:t>6. Phase 2：Challenge 2 — Carbon-Bottleneck-Guided Placement（CBGP）</w:t>
      </w:r>
    </w:p>
    <w:p>
      <w:r>
        <w:t>这是下一阶段最重要的算法工作。Phase 3.5 已证明“某些场景下 Placement 有必要”，现在要把这个现象转成一个不依赖全局 MILP 的可执行方法。</w:t>
      </w:r>
    </w:p>
    <w:p>
      <w:pPr>
        <w:pStyle w:val="Heading2"/>
      </w:pPr>
      <w:r>
        <w:t>6.1 方法逻辑</w:t>
      </w:r>
    </w:p>
    <w:p>
      <w:pPr>
        <w:spacing w:after="40"/>
        <w:ind w:left="85" w:firstLine="0"/>
      </w:pPr>
      <w:r>
        <w:t>1.  在当前 Placement P 上运行 Carbon-aware Flow，得到最优流量、每个 GPU/网络边 utilization、每条执行路径碳成本。</w:t>
      </w:r>
    </w:p>
    <w:p>
      <w:pPr>
        <w:spacing w:after="40"/>
        <w:ind w:left="85" w:firstLine="0"/>
      </w:pPr>
      <w:r>
        <w:t>2.  计算低碳方向的“受阻证据”：低 CI 节点饱和、进入低碳 region 的边饱和、连续 layer boundary 导致低碳 GPU 无法承载更多层、内存/算力约束成为 active constraint。</w:t>
      </w:r>
    </w:p>
    <w:p>
      <w:pPr>
        <w:spacing w:after="40"/>
        <w:ind w:left="85" w:firstLine="0"/>
      </w:pPr>
      <w:r>
        <w:t>3.  对高价值瓶颈生成局部 Placement 候选，只移动连续 layer boundary，优先 ±1、±2... 层的小范围移动，并保持 Helix 的层序与显存约束。</w:t>
      </w:r>
    </w:p>
    <w:p>
      <w:pPr>
        <w:spacing w:after="40"/>
        <w:ind w:left="85" w:firstLine="0"/>
      </w:pPr>
      <w:r>
        <w:t>4.  每个候选重新构建 serving graph 并运行 Carbon-aware Flow，计算 carbon、throughput/SLO、可行性。</w:t>
      </w:r>
    </w:p>
    <w:p>
      <w:pPr>
        <w:spacing w:after="40"/>
        <w:ind w:left="85" w:firstLine="0"/>
      </w:pPr>
      <w:r>
        <w:t>5.  选择可行且 carbon 最低的候选；候选集合必须包含原 Placement，保证单步不劣化。</w:t>
      </w:r>
    </w:p>
    <w:p>
      <w:pPr>
        <w:spacing w:after="40"/>
        <w:ind w:left="85" w:firstLine="0"/>
      </w:pPr>
      <w:r>
        <w:t>6.  可重复 1~K 轮局部改进，直到无改进或达到 max_iters。MILP Joint 仅用于报告最优差距。</w:t>
      </w:r>
    </w:p>
    <w:p>
      <w:pPr>
        <w:pStyle w:val="Heading2"/>
      </w:pPr>
      <w:r>
        <w:t>6.2 建议新增模块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9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6123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src/analysis/bottleneck.py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从 flow solution 提取 GPU/edge utilization、active constraints、region carbon pressure，输出结构化 BottleneckReport。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src/optimizer/placement_candidates.py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围绕指定 layer boundary 生成合法候选；去重 placement signature；可配置 move_radius / max_candidates。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src/optimizer/cbgp.py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主算法：flow → diagnose → candidate search → select → iterate。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src/analysis/placement_signature.py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统一 signature、等价/退化切换判断，复用 Phase 3.5 逻辑。若已有同类函数则不要重复创建。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experiments/exp_cbgp.py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与 Helix+Routing、Joint MILP Oracle 对比。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configs/cbgp_experiment.yaml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实验场景、epsilon、候选半径、迭代次数、rho、CI/network/GPU scenarios。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tests/test_bottleneck.py / test_cbgp.py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受控瓶颈、候选合法性、单调不劣化、Oracle 上下界。</w:t>
            </w:r>
          </w:p>
        </w:tc>
      </w:tr>
    </w:tbl>
    <w:p>
      <w:pPr>
        <w:pStyle w:val="Heading2"/>
      </w:pPr>
      <w:r>
        <w:t>6.3 BottleneckReport 最小字段</w:t>
      </w:r>
    </w:p>
    <w:p>
      <w:pPr>
        <w:pStyle w:val="CodeBlock"/>
      </w:pPr>
      <w:r>
        <w:t>BottleneckReport(</w:t>
        <w:br/>
        <w:t xml:space="preserve">    gpu_utilization: dict[gpu_id, float],</w:t>
        <w:br/>
        <w:t xml:space="preserve">    edge_utilization: dict[edge_id, float],</w:t>
        <w:br/>
        <w:t xml:space="preserve">    saturated_low_carbon_gpus: list[gpu_id],</w:t>
        <w:br/>
        <w:t xml:space="preserve">    saturated_cross_region_edges: list[edge_id],</w:t>
        <w:br/>
        <w:t xml:space="preserve">    candidate_layer_boundaries: list[BoundaryScore],</w:t>
        <w:br/>
        <w:t xml:space="preserve">    active_memory_constraints: list[gpu_id],</w:t>
        <w:br/>
        <w:t xml:space="preserve">    diagnostics: dict</w:t>
        <w:br/>
        <w:t>)</w:t>
      </w:r>
    </w:p>
    <w:p>
      <w:r>
        <w:t>BoundaryScore 不需要一开始设计成复杂学习模型。第一版用可解释的启发式评分即可，例如“碳强度差 × 可释放容量 × 当前流量 / 迁移层数”。所有权重必须放在配置中，并做消融，不可藏在代码常量里。</w:t>
      </w:r>
    </w:p>
    <w:p>
      <w:pPr>
        <w:pStyle w:val="Heading2"/>
      </w:pPr>
      <w:r>
        <w:t>6.4 CBGP 伪代码</w:t>
      </w:r>
    </w:p>
    <w:p>
      <w:pPr>
        <w:pStyle w:val="CodeBlock"/>
      </w:pPr>
      <w:r>
        <w:t>P = P_helix</w:t>
        <w:br/>
        <w:t>best = solve_carbon_flow(P, F_target)</w:t>
        <w:br/>
        <w:t>for it in range(max_iters):</w:t>
        <w:br/>
        <w:t xml:space="preserve">    report = diagnose_bottlenecks(P, best.flow, state)</w:t>
        <w:br/>
        <w:t xml:space="preserve">    candidates = generate_local_candidates(P, report, config)</w:t>
        <w:br/>
        <w:t xml:space="preserve">    candidates = [P] + feasible_unique(candidates)</w:t>
        <w:br/>
        <w:br/>
        <w:t xml:space="preserve">    evaluated = []</w:t>
        <w:br/>
        <w:t xml:space="preserve">    for P2 in candidates:</w:t>
        <w:br/>
        <w:t xml:space="preserve">        sol = solve_carbon_flow(P2, F_target)</w:t>
        <w:br/>
        <w:t xml:space="preserve">        if sol.feasible:</w:t>
        <w:br/>
        <w:t xml:space="preserve">            evaluated.append((P2, sol))</w:t>
        <w:br/>
        <w:br/>
        <w:t xml:space="preserve">    P_new, sol_new = min(evaluated, key=lambda x: x[1].carbon)</w:t>
        <w:br/>
        <w:t xml:space="preserve">    if sol_new.carbon &gt;= best.carbon - tolerance:</w:t>
        <w:br/>
        <w:t xml:space="preserve">        break</w:t>
        <w:br/>
        <w:t xml:space="preserve">    P, best = P_new, sol_new</w:t>
        <w:br/>
        <w:t>return P, best</w:t>
      </w:r>
    </w:p>
    <w:p>
      <w:pPr>
        <w:pStyle w:val="Heading2"/>
      </w:pPr>
      <w:r>
        <w:t>6.5 Phase 2 实验矩阵</w:t>
      </w:r>
    </w:p>
    <w:p>
      <w:pPr>
        <w:pStyle w:val="ListBullet"/>
        <w:spacing w:after="40"/>
      </w:pPr>
      <w:r>
        <w:t>优先复用 Phase 3.5 的 commodity / moderate_asymmetric / high_asymmetric 三组 GPU 场景。</w:t>
      </w:r>
    </w:p>
    <w:p>
      <w:pPr>
        <w:pStyle w:val="ListBullet"/>
        <w:spacing w:after="40"/>
      </w:pPr>
      <w:r>
        <w:t>复用 CI ratio、network capacity、rho sweep；重点观察 Placement Necessity Region 内外。</w:t>
      </w:r>
    </w:p>
    <w:p>
      <w:pPr>
        <w:pStyle w:val="ListBullet"/>
        <w:spacing w:after="40"/>
      </w:pPr>
      <w:r>
        <w:t>每个点同时运行：Helix+Carbon Routing、CBGP、Joint MILP Oracle。</w:t>
      </w:r>
    </w:p>
    <w:p>
      <w:pPr>
        <w:pStyle w:val="ListBullet"/>
        <w:spacing w:after="40"/>
      </w:pPr>
      <w:r>
        <w:t>新增指标：oracle_gap_remaining=(C_prop-C_J)/C_R；gap_closed=(C_R-C_prop)/(C_R-C_J)，当分母接近 0 时标记 N/A，不制造无意义百分比。</w:t>
      </w:r>
    </w:p>
    <w:p>
      <w:pPr>
        <w:pStyle w:val="ListBullet"/>
        <w:spacing w:after="40"/>
      </w:pPr>
      <w:r>
        <w:t>运行时间/候选数/solver 调用次数必须记录，用于证明局部搜索的实际价值。</w:t>
      </w:r>
    </w:p>
    <w:p>
      <w:pPr>
        <w:pStyle w:val="Heading2"/>
      </w:pPr>
      <w:r>
        <w:t>6.6 Phase 2 验收标准</w:t>
      </w:r>
    </w:p>
    <w:p>
      <w:pPr>
        <w:pStyle w:val="ListBullet"/>
        <w:spacing w:after="40"/>
      </w:pPr>
      <w:r>
        <w:t>正确性：所有可行点满足 C_J &lt;= C_prop &lt;= C_R（数值容差内）。</w:t>
      </w:r>
    </w:p>
    <w:p>
      <w:pPr>
        <w:pStyle w:val="ListBullet"/>
        <w:spacing w:after="40"/>
      </w:pPr>
      <w:r>
        <w:t>安全性：如果没有有益 candidate，算法返回原 Placement，不允许“为了换而换”。</w:t>
      </w:r>
    </w:p>
    <w:p>
      <w:pPr>
        <w:pStyle w:val="ListBullet"/>
        <w:spacing w:after="40"/>
      </w:pPr>
      <w:r>
        <w:t>退化控制：等价 placement signature 不应被计为有效 improvement。</w:t>
      </w:r>
    </w:p>
    <w:p>
      <w:pPr>
        <w:pStyle w:val="ListBullet"/>
        <w:spacing w:after="40"/>
      </w:pPr>
      <w:r>
        <w:t>研究结果不预设必须达到某个百分比；如 CBGP 只能关闭一部分 Oracle gap，也如实报告。不得为追求漂亮数字改实验定义。</w:t>
      </w:r>
    </w:p>
    <w:p>
      <w:pPr>
        <w:pStyle w:val="Heading1"/>
      </w:pPr>
      <w:r>
        <w:t>7. Phase 3：Challenge 3 — Global Carbon Flow + SLO-aware Dispatch</w:t>
      </w:r>
    </w:p>
    <w:p>
      <w:r>
        <w:t>第三个挑战不再以“单请求最短碳路径”作为主算法。原因是 GPU 与网络容量由所有请求共享，逐请求独立最短路可能让全局资源过载。调度应先做全局流量配额，再做轻量在线分派。</w:t>
      </w:r>
    </w:p>
    <w:p>
      <w:pPr>
        <w:pStyle w:val="Heading2"/>
      </w:pPr>
      <w:r>
        <w:t>7.1 两级调度器</w:t>
      </w:r>
    </w:p>
    <w:p>
      <w:pPr>
        <w:spacing w:after="40"/>
        <w:ind w:left="85" w:firstLine="0"/>
      </w:pPr>
      <w:r>
        <w:t>1.  周期控制层（epoch，例如 10~60s，可配置）：读取当前/预测窗口 CI、GPU/网络可用容量和队列状态，求全局 Carbon-aware Flow Allocation。</w:t>
      </w:r>
    </w:p>
    <w:p>
      <w:pPr>
        <w:spacing w:after="40"/>
        <w:ind w:left="85" w:firstLine="0"/>
      </w:pPr>
      <w:r>
        <w:t>2.  在线请求层：每个请求根据 class（输入长度、预计输出长度、SLO tier）、当前 path quota、队列和 SLO slack 选择执行路径。</w:t>
      </w:r>
    </w:p>
    <w:p>
      <w:pPr>
        <w:spacing w:after="40"/>
        <w:ind w:left="85" w:firstLine="0"/>
      </w:pPr>
      <w:r>
        <w:t>3.  低 slack 请求优先性能，高 slack 请求优先低碳；但必须服从全局 quota/capacity，避免全部请求涌向同一低碳路径。</w:t>
      </w:r>
    </w:p>
    <w:p>
      <w:pPr>
        <w:spacing w:after="40"/>
        <w:ind w:left="85" w:firstLine="0"/>
      </w:pPr>
      <w:r>
        <w:t>4.  CI epoch 更新后只更新 flow quota，不改变 Placement。Placement 的重新求解保持慢时间尺度，后续再加入成本触发。</w:t>
      </w:r>
    </w:p>
    <w:p>
      <w:pPr>
        <w:pStyle w:val="Heading2"/>
      </w:pPr>
      <w:r>
        <w:t>7.2 建议新增模块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94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606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src/scheduler/global_carbon_flow.py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包装/扩展现有 carbon_flow，输出 path/edge/gpu 流量配额和 epoch 级 allocation。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src/scheduler/request_dispatch.py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请求级选择：根据 quota、queue、predicted latency、SLO slack 评分候选路径。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src/scheduler/request_profile.py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请求类型与 SLO 定义：input_tokens、expected_output_tokens、TTFT/TBT/deadline。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src/scheduler/controller.py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按 epoch 更新 CI 与 global allocation；保持 Placement 固定。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src/simulator/dynamic_simulator.py（或扩展现有 simulator.py）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事件驱动请求到达、队列、服务完成、CI epoch 更新；若现有 simulator 能自然扩展则不要新建平行模拟器。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experiments/exp_dynamic_scheduling.py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动态 CI + workload trace 对比实验。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configs/dynamic_scheduling.yaml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CI trace、arrival rate、request mix、SLO tier、epoch。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tests/test_request_dispatch.py / test_dynamic_scheduling.py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quota、不超 capacity、slack 逻辑、CI 切换响应。</w:t>
            </w:r>
          </w:p>
        </w:tc>
      </w:tr>
    </w:tbl>
    <w:p>
      <w:pPr>
        <w:pStyle w:val="Heading2"/>
      </w:pPr>
      <w:r>
        <w:t>7.3 请求级评分建议（第一版保持简单）</w:t>
      </w:r>
    </w:p>
    <w:p>
      <w:pPr>
        <w:pStyle w:val="CodeBlock"/>
      </w:pPr>
      <w:r>
        <w:t>slack = slo_deadline_ms - predicted_latency_ms(path, queue_state)</w:t>
        <w:br/>
        <w:br/>
        <w:t>if slack &lt; 0:</w:t>
        <w:br/>
        <w:t xml:space="preserve">    path infeasible</w:t>
        <w:br/>
        <w:t>else:</w:t>
        <w:br/>
        <w:t xml:space="preserve">    score(path) = carbon_cost(path, t)</w:t>
        <w:br/>
        <w:t xml:space="preserve">                + lambda_latency * normalized_latency(path)</w:t>
        <w:br/>
        <w:t xml:space="preserve">                + lambda_quota * quota_pressure(path)</w:t>
        <w:br/>
        <w:br/>
        <w:t># lambda_latency 可随 slack 变小而增大</w:t>
        <w:br/>
        <w:t># 所有 lambda 配置化，并保留简单基线：min-carbon / min-latency / random / Helix routing</w:t>
      </w:r>
    </w:p>
    <w:p>
      <w:r>
        <w:t>如果当前简化 simulator 还不能可信计算 TTFT/TBT，第一版可以使用明确标注的 latency proxy；随后在 Helix 高保真 simulator 中验证。不得把 proxy 结果直接写成真实 TTFT/TBT。</w:t>
      </w:r>
    </w:p>
    <w:p>
      <w:pPr>
        <w:pStyle w:val="Heading2"/>
      </w:pPr>
      <w:r>
        <w:t>7.4 动态实验</w:t>
      </w:r>
    </w:p>
    <w:p>
      <w:pPr>
        <w:pStyle w:val="ListBullet"/>
        <w:spacing w:after="40"/>
      </w:pPr>
      <w:r>
        <w:t>Trace A：合成阶跃 CI，验证调度器能在 CI 高低交换后转移流量。</w:t>
      </w:r>
    </w:p>
    <w:p>
      <w:pPr>
        <w:pStyle w:val="ListBullet"/>
        <w:spacing w:after="40"/>
      </w:pPr>
      <w:r>
        <w:t>Trace B：平滑周期 CI，验证配额不会因小噪声产生异常振荡。</w:t>
      </w:r>
    </w:p>
    <w:p>
      <w:pPr>
        <w:pStyle w:val="ListBullet"/>
        <w:spacing w:after="40"/>
      </w:pPr>
      <w:r>
        <w:t>Trace C：工作负载变化（arrival rate / request length mix）与 CI 同时变化。</w:t>
      </w:r>
    </w:p>
    <w:p>
      <w:pPr>
        <w:pStyle w:val="ListBullet"/>
        <w:spacing w:after="40"/>
      </w:pPr>
      <w:r>
        <w:t>后续再接真实/公开 CI trace；若数据来源尚未确定，接口先完成，不伪造“真实 trace”。</w:t>
      </w:r>
    </w:p>
    <w:p>
      <w:pPr>
        <w:pStyle w:val="Heading2"/>
      </w:pPr>
      <w:r>
        <w:t>7.5 Scheduling 对比与指标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type="dxa" w:w="674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方法/指标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Baselines</w:t>
            </w:r>
          </w:p>
        </w:tc>
        <w:tc>
          <w:tcPr>
            <w:tcW w:type="dxa" w:w="67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Helix 原始调度；固定 Placement + static carbon flow；per-request min-carbon（用于展示其拥塞问题，可选）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67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Global Carbon Flow + SLO-aware Dispatch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Carbon</w:t>
            </w:r>
          </w:p>
        </w:tc>
        <w:tc>
          <w:tcPr>
            <w:tcW w:type="dxa" w:w="67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total operational carbon；carbon/request；carbon/token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67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throughput；平均/尾延迟 proxy 或真实 TTFT/TBT；SLO violation rate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67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GPU/edge utilization；queue length；quota violation；controller runtime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Dynamics</w:t>
            </w:r>
          </w:p>
        </w:tc>
        <w:tc>
          <w:tcPr>
            <w:tcW w:type="dxa" w:w="67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CI 切换后的 adaptation lag；各 region flow share 随时间变化</w:t>
            </w:r>
          </w:p>
        </w:tc>
      </w:tr>
    </w:tbl>
    <w:p>
      <w:pPr>
        <w:pStyle w:val="Heading1"/>
      </w:pPr>
      <w:r>
        <w:t>8. Phase 4：三模块集成与慢放置 / 快调度控制</w:t>
      </w:r>
    </w:p>
    <w:p>
      <w:r>
        <w:t>当 Phase 2 和 Phase 3 分别稳定后再集成。当前不要求完整 migration system，但要把接口留好。</w:t>
      </w:r>
    </w:p>
    <w:p>
      <w:pPr>
        <w:pStyle w:val="CodeBlock"/>
      </w:pPr>
      <w:r>
        <w:t>Carbon Model  ──&gt; carbon costs at time t</w:t>
        <w:br/>
        <w:t xml:space="preserve">      │</w:t>
        <w:br/>
        <w:t xml:space="preserve">      ├── Slow loop: Placement evaluator / CBGP (minutes~hours or explicit trigger)</w:t>
        <w:br/>
        <w:t xml:space="preserve">      │       └── produces serving graph / placement</w:t>
        <w:br/>
        <w:t xml:space="preserve">      │</w:t>
        <w:br/>
        <w:t xml:space="preserve">      └── Fast loop: Global Carbon Flow (seconds)</w:t>
        <w:br/>
        <w:t xml:space="preserve">              └── Per-request SLO-aware Dispatch (request arrival)</w:t>
      </w:r>
    </w:p>
    <w:p>
      <w:pPr>
        <w:pStyle w:val="ListBullet"/>
        <w:spacing w:after="40"/>
      </w:pPr>
      <w:r>
        <w:t>Slow loop 第一版可以手工/固定周期触发，用于实验，不需要马上做复杂预测。</w:t>
      </w:r>
    </w:p>
    <w:p>
      <w:pPr>
        <w:pStyle w:val="ListBullet"/>
        <w:spacing w:after="40"/>
      </w:pPr>
      <w:r>
        <w:t>为未来 migration cost/hysteresis 预留 ReconfigurationPolicy 接口，但默认实现为 disabled。</w:t>
      </w:r>
    </w:p>
    <w:p>
      <w:pPr>
        <w:pStyle w:val="ListBullet"/>
        <w:spacing w:after="40"/>
      </w:pPr>
      <w:r>
        <w:t>只有当论文后续确实需要动态 placement 结果时，再加入 benefit &gt; reconfiguration_cost 与 hysteresis；不要提前让它吞掉当前三条主线。</w:t>
      </w:r>
    </w:p>
    <w:p>
      <w:pPr>
        <w:pStyle w:val="Heading1"/>
      </w:pPr>
      <w:r>
        <w:t>9. Phase 5：回接原始 Helix 高保真 Simulator</w:t>
      </w:r>
    </w:p>
    <w:p>
      <w:r>
        <w:t>简化模型负责算法迭代，高保真 Helix simulator 负责证明关键结论没有被简化模型虚构出来。此阶段应晚于算法稳定。</w:t>
      </w:r>
    </w:p>
    <w:p>
      <w:pPr>
        <w:spacing w:after="40"/>
        <w:ind w:left="85" w:firstLine="0"/>
      </w:pPr>
      <w:r>
        <w:t>1.  选择少量代表点：Routing sufficient 区、Placement necessary 区、边界附近各若干点。</w:t>
      </w:r>
    </w:p>
    <w:p>
      <w:pPr>
        <w:spacing w:after="40"/>
        <w:ind w:left="85" w:firstLine="0"/>
      </w:pPr>
      <w:r>
        <w:t>2.  把 Proposed Placement 转换为 Helix 可接受的 layout/solution 配置。</w:t>
      </w:r>
    </w:p>
    <w:p>
      <w:pPr>
        <w:spacing w:after="40"/>
        <w:ind w:left="85" w:firstLine="0"/>
      </w:pPr>
      <w:r>
        <w:t>3.  把 scheduling policy 映射到 Helix request routing / scheduler 接口；若无法逐请求完全复现，至少实现 epoch-level flow share replay。</w:t>
      </w:r>
    </w:p>
    <w:p>
      <w:pPr>
        <w:spacing w:after="40"/>
        <w:ind w:left="85" w:firstLine="0"/>
      </w:pPr>
      <w:r>
        <w:t>4.  比较简化模型与高保真 simulator 的 throughput、queue、latency、flow share 与 carbon 排序是否一致。</w:t>
      </w:r>
    </w:p>
    <w:p>
      <w:pPr>
        <w:spacing w:after="40"/>
        <w:ind w:left="85" w:firstLine="0"/>
      </w:pPr>
      <w:r>
        <w:t>5.  若出现偏差，优先修正简化模型假设，而不是调参数让结果“看起来一致”。</w:t>
      </w:r>
    </w:p>
    <w:p>
      <w:pPr>
        <w:pStyle w:val="Heading1"/>
      </w:pPr>
      <w:r>
        <w:t>10. 结果文件与可复现规范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49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652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建议输出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Phase 0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results/baseline_audit.md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results/model_validation.csv；results/model_validation.md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results/cbgp_summary.csv；results/cbgp_candidates.csv；results/cbgp_report.md；边界/Gap 图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results/dynamic_scheduling_timeseries.csv；results/dynamic_scheduling_summary.csv；results/dynamic_scheduling_report.md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results/integrated_summary.csv；results/integrated_report.md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Phase 5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results/helix_hifi_validation.csv；results/helix_hifi_report.md</w:t>
            </w:r>
          </w:p>
        </w:tc>
      </w:tr>
    </w:tbl>
    <w:p>
      <w:pPr>
        <w:pStyle w:val="ListBullet"/>
        <w:spacing w:after="40"/>
      </w:pPr>
      <w:r>
        <w:t>实验 CSV 必须保留 config/scenario id、seed（若使用随机）、solver status、runtime。</w:t>
      </w:r>
    </w:p>
    <w:p>
      <w:pPr>
        <w:pStyle w:val="ListBullet"/>
        <w:spacing w:after="40"/>
      </w:pPr>
      <w:r>
        <w:t>图从 CSV 生成，不把图当唯一结果。</w:t>
      </w:r>
    </w:p>
    <w:p>
      <w:pPr>
        <w:pStyle w:val="ListBullet"/>
        <w:spacing w:after="40"/>
      </w:pPr>
      <w:r>
        <w:t>所有实验脚本支持 --config 和 --output-dir；避免把 D:\PythonProject 等本机绝对路径写进代码。</w:t>
      </w:r>
    </w:p>
    <w:p>
      <w:pPr>
        <w:pStyle w:val="ListBullet"/>
        <w:spacing w:after="40"/>
      </w:pPr>
      <w:r>
        <w:t>随机过程固定 seed，并在结果中记录。</w:t>
      </w:r>
    </w:p>
    <w:p>
      <w:pPr>
        <w:pStyle w:val="Heading1"/>
      </w:pPr>
      <w:r>
        <w:t>11. 测试策略与总体验收门槛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6633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必须覆盖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Unit</w:t>
            </w:r>
          </w:p>
        </w:tc>
        <w:tc>
          <w:tcPr>
            <w:tcW w:type="dxa" w:w="6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单位换算、trace、bottleneck 诊断、candidate legality、placement signature、quota/slack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Invariant</w:t>
            </w:r>
          </w:p>
        </w:tc>
        <w:tc>
          <w:tcPr>
            <w:tcW w:type="dxa" w:w="6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joint &lt;= proposed &lt;= routing；capacity 不超限；显存/层连续性；flow conservation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Regression</w:t>
            </w:r>
          </w:p>
        </w:tc>
        <w:tc>
          <w:tcPr>
            <w:tcW w:type="dxa" w:w="6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旧 Phase 1/2/3/3.5 关键测试不退化；原 CSV 不覆盖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Controlled case</w:t>
            </w:r>
          </w:p>
        </w:tc>
        <w:tc>
          <w:tcPr>
            <w:tcW w:type="dxa" w:w="6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人工构造低碳 GPU 饱和、cross-region edge 饱和、CI 翻转、SLO 紧/松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Experiment smoke</w:t>
            </w:r>
          </w:p>
        </w:tc>
        <w:tc>
          <w:tcPr>
            <w:tcW w:type="dxa" w:w="6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每个实验脚本提供 tiny config，CI 中可在数秒~分钟内完成</w:t>
            </w:r>
          </w:p>
        </w:tc>
      </w:tr>
    </w:tbl>
    <w:p>
      <w:r>
        <w:t>每一阶段提交前必须执行：pytest -q。新增失败不得通过删测试、放宽到无意义 tolerance、或把 assert 改成 print 来“修复”。这种人类传统不需要让 AI 继承。</w:t>
      </w:r>
    </w:p>
    <w:p>
      <w:pPr>
        <w:pStyle w:val="Heading1"/>
      </w:pPr>
      <w:r>
        <w:t>12. 明确禁止事项</w:t>
      </w:r>
    </w:p>
    <w:p>
      <w:pPr>
        <w:pStyle w:val="ListBullet"/>
        <w:spacing w:after="40"/>
      </w:pPr>
      <w:r>
        <w:t>不要重写整个仓库；优先扩展现有抽象。</w:t>
      </w:r>
    </w:p>
    <w:p>
      <w:pPr>
        <w:pStyle w:val="ListBullet"/>
        <w:spacing w:after="40"/>
      </w:pPr>
      <w:r>
        <w:t>不要在本轮引入 RL、GNN、LLM agent、复杂预测器，除非后续实验明确证明简单方法不足。</w:t>
      </w:r>
    </w:p>
    <w:p>
      <w:pPr>
        <w:pStyle w:val="ListBullet"/>
        <w:spacing w:after="40"/>
      </w:pPr>
      <w:r>
        <w:t>不要把 synthetic 场景称为真实数据中心。</w:t>
      </w:r>
    </w:p>
    <w:p>
      <w:pPr>
        <w:pStyle w:val="ListBullet"/>
        <w:spacing w:after="40"/>
      </w:pPr>
      <w:r>
        <w:t>不要把 placement signature 改变自动等同于有效 breakpoint。</w:t>
      </w:r>
    </w:p>
    <w:p>
      <w:pPr>
        <w:pStyle w:val="ListBullet"/>
        <w:spacing w:after="40"/>
      </w:pPr>
      <w:r>
        <w:t>不要只挑最大 18.39% 的点；必须报告 Region 全貌和 Routing sufficient 区域。</w:t>
      </w:r>
    </w:p>
    <w:p>
      <w:pPr>
        <w:pStyle w:val="ListBullet"/>
        <w:spacing w:after="40"/>
      </w:pPr>
      <w:r>
        <w:t>不要修改 Gap、F_target、rho 或 baseline 定义来迎合结果。</w:t>
      </w:r>
    </w:p>
    <w:p>
      <w:pPr>
        <w:pStyle w:val="ListBullet"/>
        <w:spacing w:after="40"/>
      </w:pPr>
      <w:r>
        <w:t>不要为了“碳模型完整”凭空添加网络能耗常数。</w:t>
      </w:r>
    </w:p>
    <w:p>
      <w:pPr>
        <w:pStyle w:val="ListBullet"/>
        <w:spacing w:after="40"/>
      </w:pPr>
      <w:r>
        <w:t>不要在完成 Phase 2/3 前直接进入 migration/hysteresis/BACR 大工程。</w:t>
      </w:r>
    </w:p>
    <w:p>
      <w:pPr>
        <w:pStyle w:val="ListBullet"/>
        <w:spacing w:after="40"/>
      </w:pPr>
      <w:r>
        <w:t>不要使用本机绝对路径；不要覆盖历史结果；不要把 venv/cache 打包进实验产物。</w:t>
      </w:r>
    </w:p>
    <w:p>
      <w:pPr>
        <w:pStyle w:val="Heading1"/>
      </w:pPr>
      <w:r>
        <w:t>13. 推荐执行顺序（给编码 AI）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85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4139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工作包</w:t>
            </w:r>
          </w:p>
        </w:tc>
        <w:tc>
          <w:tcPr>
            <w:tcW w:type="dxa" w:w="4025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完成标志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Baseline audit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旧测试通过 + Phase 3.5 sanity report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Carbon model/trace cleanup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旧结果兼容 + 动态 CI 接口有测试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Bottleneck diagnostics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受控场景能正确指出 GPU/edge/boundary 瓶颈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CBGP local placement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C_J &lt;= C_prop &lt;= C_R + 实验 CSV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CBGP full Phase 3.5 sweep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得到 gap_closed / runtime / region 图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Global carbon allocation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动态 CI 下 flow share 能正确变化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Per-request SLO dispatch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quota/capacity/SLO 测试通过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Dynamic scheduling experiment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timeseries + summary + baselines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慢放置 + 快调度接口打通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Helix high-fidelity validation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代表场景高保真复现</w:t>
            </w:r>
          </w:p>
        </w:tc>
      </w:tr>
    </w:tbl>
    <w:p>
      <w:pPr>
        <w:pStyle w:val="Heading1"/>
      </w:pPr>
      <w:r>
        <w:t>14. 每个工作包的回复格式（编码 AI 必须遵守）</w:t>
      </w:r>
    </w:p>
    <w:p>
      <w:r>
        <w:t>每完成一个阶段，不要只回复“已实现”。必须输出以下内容：</w:t>
      </w:r>
    </w:p>
    <w:p>
      <w:pPr>
        <w:pStyle w:val="CodeBlock"/>
      </w:pPr>
      <w:r>
        <w:t>1. 本阶段目标</w:t>
        <w:br/>
        <w:t>2. 实际修改文件（逐个列出）</w:t>
        <w:br/>
        <w:t>3. 关键实现与设计选择</w:t>
        <w:br/>
        <w:t>4. 运行命令</w:t>
        <w:br/>
        <w:t>5. 测试结果（passed/failed）</w:t>
        <w:br/>
        <w:t>6. 实验结果与生成文件</w:t>
        <w:br/>
        <w:t>7. 与计划不一致的地方及原因</w:t>
        <w:br/>
        <w:t>8. 下一阶段是否满足进入条件</w:t>
        <w:br/>
        <w:br/>
        <w:t>如果测试失败：停止进入下一阶段，先报告失败原因和最小修复方案。</w:t>
      </w:r>
    </w:p>
    <w:p>
      <w:pPr>
        <w:pStyle w:val="Heading1"/>
      </w:pPr>
      <w:r>
        <w:t>15. 最终论文故事应保持一致</w:t>
      </w:r>
    </w:p>
    <w:p>
      <w:r>
        <w:t>代码实现不能把研究故事改成另一个课题。最终仍然围绕三个挑战：</w:t>
      </w:r>
    </w:p>
    <w:p>
      <w:pPr>
        <w:pStyle w:val="ListBullet"/>
        <w:spacing w:after="40"/>
      </w:pPr>
      <w:r>
        <w:t>建模：用统一的 Stage-aware Carbon Flow Model 表达动态 CI 与异构 GPU 推理成本。</w:t>
      </w:r>
    </w:p>
    <w:p>
      <w:pPr>
        <w:pStyle w:val="ListBullet"/>
        <w:spacing w:after="40"/>
      </w:pPr>
      <w:r>
        <w:t>模型放置：识别 Placement Necessity Region，并由 flow 中的结构性碳瓶颈指导局部 layer placement。</w:t>
      </w:r>
    </w:p>
    <w:p>
      <w:pPr>
        <w:pStyle w:val="ListBullet"/>
        <w:spacing w:after="40"/>
      </w:pPr>
      <w:r>
        <w:t>请求调度：在固定 placement 上，用全局 Carbon Flow 配额 + 请求级 SLO slack 快速适应动态 CI。</w:t>
      </w:r>
    </w:p>
    <w:p>
      <w:r>
        <w:t>核心概念保持：Placement 改变“哪些执行路径存在”，Scheduling 决定“当前流量如何走”。这就是慢结构调整与快动态适配之间的分工。</w:t>
      </w:r>
    </w:p>
    <w:p>
      <w:pPr>
        <w:pStyle w:val="Heading1"/>
      </w:pPr>
      <w:r>
        <w:t>附录 A：给编码 AI 的主 Prompt 使用说明</w:t>
      </w:r>
    </w:p>
    <w:p>
      <w:r>
        <w:t>建议不要一次要求编码 AI 把 Phase 0~5 全部写完。将配套 Prompt 整段发给它后，要求它严格按 Phase 0 → Phase 1 → Phase 2 的顺序工作，并在每个阶段通过验收后再继续。主 Prompt 已另存为 Markdown 文件，便于直接复制。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Helix Carbon-aware Implementation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3" w:right="283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