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20"/>
        <w:ind w:firstLine="0"/>
        <w:jc w:val="center"/>
      </w:pPr>
      <w:r>
        <w:rPr>
          <w:rFonts w:ascii="Times New Roman" w:hAnsi="Times New Roman" w:eastAsia="黑体"/>
          <w:b/>
          <w:sz w:val="40"/>
        </w:rPr>
        <w:t>异构 GPU 推理的部署与会话调度研究</w:t>
      </w:r>
    </w:p>
    <w:p>
      <w:pPr>
        <w:keepNext/>
        <w:spacing w:after="100"/>
        <w:ind w:firstLine="0"/>
        <w:jc w:val="center"/>
      </w:pPr>
      <w:r>
        <w:rPr>
          <w:rFonts w:ascii="Times New Roman" w:hAnsi="Times New Roman" w:eastAsia="宋体"/>
          <w:sz w:val="24"/>
        </w:rPr>
        <w:t>RCAPS 研究主线与实验进展汇报</w:t>
      </w:r>
    </w:p>
    <w:p>
      <w:pPr>
        <w:keepNext/>
        <w:spacing w:after="100"/>
        <w:ind w:firstLine="0"/>
        <w:jc w:val="center"/>
      </w:pPr>
      <w:r>
        <w:rPr>
          <w:rFonts w:ascii="Times New Roman" w:hAnsi="Times New Roman" w:eastAsia="宋体"/>
          <w:sz w:val="20"/>
        </w:rPr>
        <w:t>2026 年 10 月 27 日</w:t>
      </w:r>
    </w:p>
    <w:p>
      <w:pPr>
        <w:pStyle w:val="Heading1"/>
      </w:pPr>
      <w:r>
        <w:t>摘要</w:t>
      </w:r>
    </w:p>
    <w:p>
      <w:pPr>
        <w:jc w:val="both"/>
      </w:pPr>
      <w:r>
        <w:t>在异构 GPU 与非均匀网络构成的流水线推理系统中，模型部署决定请求可以经过的执行路径，在线路由决定会话在资源上的分布，通信调度则决定不同阶段的传输何时获得服务。这些决策相互影响：增加路径有助于分散网络负载，但过度分流可能缩小 Decode 批量；聚合会话有利于提高批处理效率，却可能加重局部排队；长 Prompt 激活传输还会延迟已就绪的 Decode 通信。本研究围绕上述矛盾提出 RCAPS，通过分段共享与复制放置构建合法执行空间，利用队列与会话感知路由分配请求，并通过空间准入和传输分块控制执行分散与连续资源占用。在基于 LLaMA-70B 服务画像的异构拓扑仿真中，完整 RCAPS 在两个拓扑各一个共同较低负载点上，相对 Helix、Swarm 和 Separate Pipelines 的请求级 TPOT P95 降低 62.95%–79.59%。完整系统消融进一步表明，响应性收益可能伴随更高 GPU 工作量，空间控制和时间控制的作用也随执行条件变化。现有证据支持以部署、会话选路和时空执行整形为一体的系统研究主线。</w:t>
      </w:r>
    </w:p>
    <w:p>
      <w:pPr>
        <w:ind w:firstLine="0"/>
        <w:jc w:val="both"/>
      </w:pPr>
      <w:r>
        <w:t>关键词：异构 GPU；大模型推理；流水线部署；会话感知路由；时空执行整形</w:t>
      </w:r>
    </w:p>
    <w:p>
      <w:pPr>
        <w:pStyle w:val="Heading1"/>
      </w:pPr>
      <w:r>
        <w:t>1 科学问题与研究主线</w:t>
      </w:r>
    </w:p>
    <w:p>
      <w:pPr>
        <w:jc w:val="both"/>
      </w:pPr>
      <w:r>
        <w:t>本研究沿用 2026 年 10 月 14 日导师汇报中的科学问题：在异构 GPU 与非均匀网络构成的流水线式大模型推理系统中，如何协调执行路径的网络分流能力、GPU 批处理效率和会话持续服务负担，通过部署优化与在线调度改善输出吞吐和尾部响应时间？[资料 1]</w:t>
      </w:r>
    </w:p>
    <w:p>
      <w:pPr>
        <w:jc w:val="both"/>
      </w:pPr>
      <w:r>
        <w:t>请求执行包含输入处理（Prompt，也称 Prefill）与自回归生成（Decode）两个阶段。前者处理输入序列并形成初始 KV 状态，后者逐步生成输出 token，并反复使用绑定路径上的计算和通信资源。</w:t>
      </w:r>
    </w:p>
    <w:p>
      <w:pPr>
        <w:jc w:val="both"/>
      </w:pPr>
      <w:r>
        <w:t>这一问题包含两个相互制约的执行需求。网络侧需要足够的路径选择，将请求从繁忙节点和慢链路分散出去。计算侧则希望处于相同执行阶段的 Decode 请求在相近时刻到达相同 GPU，从而形成较大的批量。路径扩展改变这两种需求的实现条件，因此，路径数量本身不能直接代表端到端服务质量。</w:t>
      </w:r>
    </w:p>
    <w:p>
      <w:pPr>
        <w:jc w:val="both"/>
      </w:pPr>
      <w:r>
        <w:t>会话的持续性进一步加深了这种联系。新请求完成 Prompt 后，还会沿已选路径反复执行 Decode，并在对应节点保存 KV 状态。某条路径当前队列较短，并不意味着它承载的后续服务负担较轻。部署与路由需要结合当前等待和活跃会话状态，避免把新请求持续分配到已经承担较多会话的资源上。</w:t>
      </w:r>
    </w:p>
    <w:p>
      <w:pPr>
        <w:jc w:val="both"/>
      </w:pPr>
      <w:r>
        <w:t>据此，RCAPS 以执行路径为共同决策对象，将研究内容组织为三个相互衔接的部分。部署提供可执行结构，路由决定会话如何使用该结构，时空执行整形调节路径开放范围和长传输的让出时机。表 1 给出各项工作的研究位置。</w:t>
      </w:r>
    </w:p>
    <w:p>
      <w:pPr>
        <w:pStyle w:val="Caption"/>
        <w:jc w:val="center"/>
      </w:pPr>
      <w:r>
        <w:t>表 1 三项工作的科学问题与方法关系</w:t>
      </w:r>
    </w:p>
    <w:tbl>
      <w:tblPr>
        <w:tblW w:type="auto" w:w="0"/>
        <w:jc w:val="center"/>
        <w:tblBorders>
          <w:top w:val="single" w:sz="10" w:color="555555"/>
          <w:left w:val="nil"/>
          <w:bottom w:val="single" w:sz="10" w:color="555555"/>
          <w:right w:val="nil"/>
          <w:insideH w:val="nil"/>
          <w:insideV w:val="nil"/>
        </w:tblBorders>
        <w:tblLayout w:type="fixed"/>
        <w:tblCellMar>
          <w:top w:w="75" w:type="dxa"/>
          <w:left w:w="70" w:type="dxa"/>
          <w:bottom w:w="75" w:type="dxa"/>
          <w:right w:w="70" w:type="dxa"/>
        </w:tblCellMar>
        <w:tblLook w:firstColumn="1" w:firstRow="1" w:lastColumn="0" w:lastRow="0" w:noHBand="0" w:noVBand="1" w:val="04A0"/>
      </w:tblPr>
      <w:tblGrid>
        <w:gridCol w:w="1814"/>
        <w:gridCol w:w="2381"/>
        <w:gridCol w:w="2665"/>
        <w:gridCol w:w="2211"/>
      </w:tblGrid>
      <w:tr>
        <w:trPr>
          <w:cantSplit/>
          <w:tblHeader/>
        </w:trPr>
        <w:tc>
          <w:tcPr>
            <w:tcW w:type="dxa" w:w="181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工作</w:t>
            </w:r>
          </w:p>
        </w:tc>
        <w:tc>
          <w:tcPr>
            <w:tcW w:type="dxa" w:w="2381"/>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主要问题</w:t>
            </w:r>
          </w:p>
        </w:tc>
        <w:tc>
          <w:tcPr>
            <w:tcW w:type="dxa" w:w="2665"/>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方法内容</w:t>
            </w:r>
          </w:p>
        </w:tc>
        <w:tc>
          <w:tcPr>
            <w:tcW w:type="dxa" w:w="2211"/>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直接影响</w:t>
            </w:r>
          </w:p>
        </w:tc>
      </w:tr>
      <w:tr>
        <w:trPr>
          <w:cantSplit/>
        </w:trPr>
        <w:tc>
          <w:tcPr>
            <w:tcW w:type="dxa" w:w="1814"/>
            <w:vAlign w:val="center"/>
          </w:tcPr>
          <w:p>
            <w:pPr>
              <w:keepNext/>
              <w:widowControl/>
              <w:spacing w:before="0" w:after="0" w:line="271" w:lineRule="auto"/>
              <w:ind w:firstLine="0"/>
              <w:jc w:val="left"/>
            </w:pPr>
            <w:r>
              <w:rPr>
                <w:rFonts w:ascii="Times New Roman" w:hAnsi="Times New Roman" w:eastAsia="宋体"/>
                <w:b w:val="0"/>
                <w:sz w:val="20"/>
              </w:rPr>
              <w:t>异构流水线部署</w:t>
            </w:r>
          </w:p>
        </w:tc>
        <w:tc>
          <w:tcPr>
            <w:tcW w:type="dxa" w:w="2381"/>
            <w:vAlign w:val="center"/>
          </w:tcPr>
          <w:p>
            <w:pPr>
              <w:keepNext/>
              <w:widowControl/>
              <w:spacing w:before="0" w:after="0" w:line="271" w:lineRule="auto"/>
              <w:ind w:firstLine="0"/>
              <w:jc w:val="center"/>
            </w:pPr>
            <w:r>
              <w:rPr>
                <w:rFonts w:ascii="Times New Roman" w:hAnsi="Times New Roman" w:eastAsia="宋体"/>
                <w:b w:val="0"/>
                <w:sz w:val="20"/>
              </w:rPr>
              <w:t>如何提供合法且具有分流能力的执行结构？</w:t>
            </w:r>
          </w:p>
        </w:tc>
        <w:tc>
          <w:tcPr>
            <w:tcW w:type="dxa" w:w="2665"/>
            <w:vAlign w:val="center"/>
          </w:tcPr>
          <w:p>
            <w:pPr>
              <w:keepNext/>
              <w:widowControl/>
              <w:spacing w:before="0" w:after="0" w:line="271" w:lineRule="auto"/>
              <w:ind w:firstLine="0"/>
              <w:jc w:val="center"/>
            </w:pPr>
            <w:r>
              <w:rPr>
                <w:rFonts w:ascii="Times New Roman" w:hAnsi="Times New Roman" w:eastAsia="宋体"/>
                <w:b w:val="0"/>
                <w:sz w:val="20"/>
              </w:rPr>
              <w:t>层兼容执行图、分段共享与复制放置</w:t>
            </w:r>
          </w:p>
        </w:tc>
        <w:tc>
          <w:tcPr>
            <w:tcW w:type="dxa" w:w="2211"/>
            <w:vAlign w:val="center"/>
          </w:tcPr>
          <w:p>
            <w:pPr>
              <w:keepNext/>
              <w:widowControl/>
              <w:spacing w:before="0" w:after="0" w:line="271" w:lineRule="auto"/>
              <w:ind w:firstLine="0"/>
              <w:jc w:val="center"/>
            </w:pPr>
            <w:r>
              <w:rPr>
                <w:rFonts w:ascii="Times New Roman" w:hAnsi="Times New Roman" w:eastAsia="宋体"/>
                <w:b w:val="0"/>
                <w:sz w:val="20"/>
              </w:rPr>
              <w:t>层分工、副本容量和路径选择空间</w:t>
            </w:r>
          </w:p>
        </w:tc>
      </w:tr>
      <w:tr>
        <w:trPr>
          <w:cantSplit/>
        </w:trPr>
        <w:tc>
          <w:tcPr>
            <w:tcW w:type="dxa" w:w="1814"/>
            <w:vAlign w:val="center"/>
          </w:tcPr>
          <w:p>
            <w:pPr>
              <w:keepNext/>
              <w:widowControl/>
              <w:spacing w:before="0" w:after="0" w:line="271" w:lineRule="auto"/>
              <w:ind w:firstLine="0"/>
              <w:jc w:val="left"/>
            </w:pPr>
            <w:r>
              <w:rPr>
                <w:rFonts w:ascii="Times New Roman" w:hAnsi="Times New Roman" w:eastAsia="宋体"/>
                <w:b w:val="0"/>
                <w:sz w:val="20"/>
              </w:rPr>
              <w:t>队列与会话感知路由</w:t>
            </w:r>
          </w:p>
        </w:tc>
        <w:tc>
          <w:tcPr>
            <w:tcW w:type="dxa" w:w="2381"/>
            <w:vAlign w:val="center"/>
          </w:tcPr>
          <w:p>
            <w:pPr>
              <w:keepNext/>
              <w:widowControl/>
              <w:spacing w:before="0" w:after="0" w:line="271" w:lineRule="auto"/>
              <w:ind w:firstLine="0"/>
              <w:jc w:val="center"/>
            </w:pPr>
            <w:r>
              <w:rPr>
                <w:rFonts w:ascii="Times New Roman" w:hAnsi="Times New Roman" w:eastAsia="宋体"/>
                <w:b w:val="0"/>
                <w:sz w:val="20"/>
              </w:rPr>
              <w:t>新会话应使用哪条路径？</w:t>
            </w:r>
          </w:p>
        </w:tc>
        <w:tc>
          <w:tcPr>
            <w:tcW w:type="dxa" w:w="2665"/>
            <w:vAlign w:val="center"/>
          </w:tcPr>
          <w:p>
            <w:pPr>
              <w:keepNext/>
              <w:widowControl/>
              <w:spacing w:before="0" w:after="0" w:line="271" w:lineRule="auto"/>
              <w:ind w:firstLine="0"/>
              <w:jc w:val="center"/>
            </w:pPr>
            <w:r>
              <w:rPr>
                <w:rFonts w:ascii="Times New Roman" w:hAnsi="Times New Roman" w:eastAsia="宋体"/>
                <w:b w:val="0"/>
                <w:sz w:val="20"/>
              </w:rPr>
              <w:t>实时资源快照、活跃会话代价、层序选路</w:t>
            </w:r>
          </w:p>
        </w:tc>
        <w:tc>
          <w:tcPr>
            <w:tcW w:type="dxa" w:w="2211"/>
            <w:vAlign w:val="center"/>
          </w:tcPr>
          <w:p>
            <w:pPr>
              <w:keepNext/>
              <w:widowControl/>
              <w:spacing w:before="0" w:after="0" w:line="271" w:lineRule="auto"/>
              <w:ind w:firstLine="0"/>
              <w:jc w:val="center"/>
            </w:pPr>
            <w:r>
              <w:rPr>
                <w:rFonts w:ascii="Times New Roman" w:hAnsi="Times New Roman" w:eastAsia="宋体"/>
                <w:b w:val="0"/>
                <w:sz w:val="20"/>
              </w:rPr>
              <w:t>即时排队和持续服务负担分布</w:t>
            </w:r>
          </w:p>
        </w:tc>
      </w:tr>
      <w:tr>
        <w:trPr>
          <w:cantSplit/>
        </w:trPr>
        <w:tc>
          <w:tcPr>
            <w:tcW w:type="dxa" w:w="1814"/>
            <w:vAlign w:val="center"/>
          </w:tcPr>
          <w:p>
            <w:pPr>
              <w:keepNext w:val="0"/>
              <w:widowControl/>
              <w:spacing w:before="0" w:after="0" w:line="271" w:lineRule="auto"/>
              <w:ind w:firstLine="0"/>
              <w:jc w:val="left"/>
            </w:pPr>
            <w:r>
              <w:rPr>
                <w:rFonts w:ascii="Times New Roman" w:hAnsi="Times New Roman" w:eastAsia="宋体"/>
                <w:b w:val="0"/>
                <w:sz w:val="20"/>
              </w:rPr>
              <w:t>时空执行整形</w:t>
            </w:r>
          </w:p>
        </w:tc>
        <w:tc>
          <w:tcPr>
            <w:tcW w:type="dxa" w:w="2381"/>
            <w:vAlign w:val="center"/>
          </w:tcPr>
          <w:p>
            <w:pPr>
              <w:keepNext w:val="0"/>
              <w:widowControl/>
              <w:spacing w:before="0" w:after="0" w:line="271" w:lineRule="auto"/>
              <w:ind w:firstLine="0"/>
              <w:jc w:val="center"/>
            </w:pPr>
            <w:r>
              <w:rPr>
                <w:rFonts w:ascii="Times New Roman" w:hAnsi="Times New Roman" w:eastAsia="宋体"/>
                <w:b w:val="0"/>
                <w:sz w:val="20"/>
              </w:rPr>
              <w:t>如何控制分流与长传输的执行代价？</w:t>
            </w:r>
          </w:p>
        </w:tc>
        <w:tc>
          <w:tcPr>
            <w:tcW w:type="dxa" w:w="2665"/>
            <w:vAlign w:val="center"/>
          </w:tcPr>
          <w:p>
            <w:pPr>
              <w:keepNext w:val="0"/>
              <w:widowControl/>
              <w:spacing w:before="0" w:after="0" w:line="271" w:lineRule="auto"/>
              <w:ind w:firstLine="0"/>
              <w:jc w:val="center"/>
            </w:pPr>
            <w:r>
              <w:rPr>
                <w:rFonts w:ascii="Times New Roman" w:hAnsi="Times New Roman" w:eastAsia="宋体"/>
                <w:b w:val="0"/>
                <w:sz w:val="20"/>
              </w:rPr>
              <w:t>静态空间准入、Prompt 激活传输分块</w:t>
            </w:r>
          </w:p>
        </w:tc>
        <w:tc>
          <w:tcPr>
            <w:tcW w:type="dxa" w:w="2211"/>
            <w:vAlign w:val="center"/>
          </w:tcPr>
          <w:p>
            <w:pPr>
              <w:keepNext w:val="0"/>
              <w:widowControl/>
              <w:spacing w:before="0" w:after="0" w:line="271" w:lineRule="auto"/>
              <w:ind w:firstLine="0"/>
              <w:jc w:val="center"/>
            </w:pPr>
            <w:r>
              <w:rPr>
                <w:rFonts w:ascii="Times New Roman" w:hAnsi="Times New Roman" w:eastAsia="宋体"/>
                <w:b w:val="0"/>
                <w:sz w:val="20"/>
              </w:rPr>
              <w:t>Decode 聚合和通信资源让出</w:t>
            </w:r>
          </w:p>
        </w:tc>
      </w:tr>
    </w:tbl>
    <w:p>
      <w:pPr>
        <w:jc w:val="both"/>
      </w:pPr>
      <w:r>
        <w:t>论文以完整 RCAPS 为研究对象，以吞吐与延迟评价整体服务表现，以完成率和积压说明观测窗口内的服务进度，以路径分布、批量、传输等待和 GPU 工作量解释作用机制与代价。研发版本之间的变化用于追溯实现，不作为全文的主要比较对象。</w:t>
      </w:r>
    </w:p>
    <w:p>
      <w:pPr>
        <w:pStyle w:val="Heading1"/>
      </w:pPr>
      <w:r>
        <w:t>2 两个动机实验：网络分流与批处理效率的矛盾</w:t>
      </w:r>
    </w:p>
    <w:p>
      <w:pPr>
        <w:pStyle w:val="Heading2"/>
      </w:pPr>
      <w:r>
        <w:t>2.1 长 Prompt 传输对 Decode 通信的阻塞</w:t>
      </w:r>
    </w:p>
    <w:p>
      <w:pPr>
        <w:jc w:val="both"/>
      </w:pPr>
      <w:r>
        <w:t>原导师汇报在相同三集群物理条件下比较单分支和三分支流水线，保持请求轨迹、GPU 计算与 KV 行为等条件一致。为识别通信因素的影响，实验分别将 Prompt 或 Decode 的跨 GPU 激活传输字节置零，并设置近似无限带宽对照，同时记录慢链路占用、Decode 等待和 TPOT P95。[资料 1]</w:t>
      </w:r>
    </w:p>
    <w:p>
      <w:pPr>
        <w:jc w:val="both"/>
      </w:pPr>
      <w:r>
        <w:t>在该历史动机配置中，单分支路径去除 Prompt 激活字节后，TPOT P95 平均下降 39.1%；去除 Decode 激活字节后下降 11.9%。三分支对应变化分别为 16.2% 和 2.4%。单分支慢链路上，Decode 等待与同链路 Prompt 传输的时间重叠比例约为 99.7%–99.8%；近似消除传输时间后，单分支与三分支的 TPOT P95 差距缩小约 73%–80%。</w:t>
      </w:r>
    </w:p>
    <w:p>
      <w:pPr>
        <w:jc w:val="both"/>
      </w:pPr>
      <w:r>
        <w:t>这些干预与追踪结果共同表明，在该配置中，长 Prompt 激活传输是影响 Decode 等待的重要因素。即使已就绪 Decode 具有发送优先级，也需要等待正在进行的长传输释放资源。增加执行分支能够分摊部分通信负担，因此部署设计需要考虑资源之间的连接关系和分流机会。另一方面，对长传输提供中间让出位置，可以直接改变 Decode 等待资源的时间组织。</w:t>
      </w:r>
    </w:p>
    <w:p>
      <w:pPr>
        <w:pStyle w:val="Heading2"/>
      </w:pPr>
      <w:r>
        <w:t>2.2 过度分流对 Decode 批处理的影响</w:t>
      </w:r>
    </w:p>
    <w:p>
      <w:pPr>
        <w:jc w:val="both"/>
      </w:pPr>
      <w:r>
        <w:t>第二个历史动机实验固定部署、实时调度和请求轨迹，仅改变可供选择的路径集合，比较规范副本路径与完整层兼容有向无环图。短窗口机制探针进一步记录 Decode 批量、单请求批占比和 GPU 层执行次数。[资料 1]</w:t>
      </w:r>
    </w:p>
    <w:p>
      <w:pPr>
        <w:jc w:val="both"/>
      </w:pPr>
      <w:r>
        <w:t>完整路径空间相对规范路径，在单集群中使 TPOT P95 增加约 10.5%，在三集群中则降低约 15.2%。单集群机制探针中，平均 Decode 批量由规范路径的 5.58 降为完整路径空间的 2.91，单请求批占比由 20.8% 升至 41.9%，Decode 层执行次数由约 51.6 万增加至 94.5 万。</w:t>
      </w:r>
    </w:p>
    <w:p>
      <w:pPr>
        <w:jc w:val="both"/>
      </w:pPr>
      <w:r>
        <w:t>这组结果说明，路径扩展的收益取决于它缓解的资源竞争能否抵偿批处理分散的代价。当可绕行的慢链路较少时，额外路径可能主要改变请求的相遇位置与时刻，降低批处理效率；当跨集群通信成为主要等待来源时，分流机会可能具有更大价值。这构成空间准入的直接动机。</w:t>
      </w:r>
    </w:p>
    <w:p>
      <w:pPr>
        <w:jc w:val="both"/>
      </w:pPr>
      <w:r>
        <w:t>两组实验均来自原导师汇报，其数值保留历史配置身份。它们用于说明研究问题的来源；第 6 节使用当前完整 RCAPS 对应的正式实验结果评价最终方法。</w:t>
      </w:r>
    </w:p>
    <w:p>
      <w:pPr>
        <w:keepLines/>
        <w:shd w:fill="F3F4F6" w:val="clear"/>
        <w:spacing w:before="140" w:after="160" w:line="288" w:lineRule="auto"/>
        <w:ind w:firstLine="0" w:left="142" w:right="142"/>
      </w:pPr>
      <w:r>
        <w:rPr>
          <w:rFonts w:ascii="Times New Roman" w:hAnsi="Times New Roman" w:eastAsia="宋体"/>
          <w:sz w:val="20"/>
        </w:rPr>
        <w:t>图位 1：网络分流与 Decode 批处理的双重动机。左侧展示长 Prompt 占用与 Decode 等待；右侧展示路径分散、Decode 批量和执行工作量的关系。此处保留图位。</w:t>
      </w:r>
    </w:p>
    <w:p>
      <w:pPr>
        <w:pStyle w:val="Heading1"/>
      </w:pPr>
      <w:r>
        <w:t>3 工作一：面向结构性瓶颈的异构流水线部署</w:t>
      </w:r>
    </w:p>
    <w:p>
      <w:pPr>
        <w:pStyle w:val="Heading2"/>
      </w:pPr>
      <w:r>
        <w:t>3.1 层兼容表示与部署可行性</w:t>
      </w:r>
    </w:p>
    <w:p>
      <w:pPr>
        <w:jc w:val="both"/>
      </w:pPr>
      <w:r>
        <w:t>部署阶段接收 GPU 类型、可驻留层数、Prompt 与 Decode 的服务画像，以及物理链路带宽和时延。每个 GPU 驻留一个连续模型层区间。执行图同时描述层进度与物理可达性，使部署结果能够直接用于在线路径选择。[资料 5]</w:t>
      </w:r>
    </w:p>
    <w:p>
      <w:pPr>
        <w:jc w:val="both"/>
      </w:pPr>
      <w:r>
        <w:t xml:space="preserve">若上游 GPU 已完成的层边界为 </w:t>
      </w:r>
      <w:r>
        <w:rPr>
          <w:i/>
        </w:rPr>
        <w:t>b</w:t>
      </w:r>
      <w:r>
        <w:rPr>
          <w:i/>
          <w:vertAlign w:val="subscript"/>
        </w:rPr>
        <w:t>i</w:t>
      </w:r>
      <w:r>
        <w:t>，下游 GPU 驻留区间为 [</w:t>
      </w:r>
      <w:r>
        <w:rPr>
          <w:i/>
        </w:rPr>
        <w:t>a</w:t>
      </w:r>
      <w:r>
        <w:rPr>
          <w:i/>
          <w:vertAlign w:val="subscript"/>
        </w:rPr>
        <w:t>j</w:t>
      </w:r>
      <w:r>
        <w:t xml:space="preserve">, </w:t>
      </w:r>
      <w:r>
        <w:rPr>
          <w:i/>
        </w:rPr>
        <w:t>b</w:t>
      </w:r>
      <w:r>
        <w:rPr>
          <w:i/>
          <w:vertAlign w:val="subscript"/>
        </w:rPr>
        <w:t>j</w:t>
      </w:r>
      <w:r>
        <w:t xml:space="preserve">)，则合法转换要求 </w:t>
      </w:r>
      <w:r>
        <w:rPr>
          <w:i/>
        </w:rPr>
        <w:t>a</w:t>
      </w:r>
      <w:r>
        <w:rPr>
          <w:i/>
          <w:vertAlign w:val="subscript"/>
        </w:rPr>
        <w:t>j</w:t>
      </w:r>
      <w:r>
        <w:t xml:space="preserve"> ≤ </w:t>
      </w:r>
      <w:r>
        <w:rPr>
          <w:i/>
        </w:rPr>
        <w:t>b</w:t>
      </w:r>
      <w:r>
        <w:rPr>
          <w:i/>
          <w:vertAlign w:val="subscript"/>
        </w:rPr>
        <w:t>i</w:t>
      </w:r>
      <w:r>
        <w:t xml:space="preserve"> &lt; </w:t>
      </w:r>
      <w:r>
        <w:rPr>
          <w:i/>
        </w:rPr>
        <w:t>b</w:t>
      </w:r>
      <w:r>
        <w:rPr>
          <w:i/>
          <w:vertAlign w:val="subscript"/>
        </w:rPr>
        <w:t>j</w:t>
      </w:r>
      <w:r>
        <w:t>，并且两个节点之间存在物理连接。请求在下游仅执行尚未完成的层区间 [</w:t>
      </w:r>
      <w:r>
        <w:rPr>
          <w:i/>
        </w:rPr>
        <w:t>b</w:t>
      </w:r>
      <w:r>
        <w:rPr>
          <w:i/>
          <w:vertAlign w:val="subscript"/>
        </w:rPr>
        <w:t>i</w:t>
      </w:r>
      <w:r>
        <w:t xml:space="preserve">, </w:t>
      </w:r>
      <w:r>
        <w:rPr>
          <w:i/>
        </w:rPr>
        <w:t>b</w:t>
      </w:r>
      <w:r>
        <w:rPr>
          <w:i/>
          <w:vertAlign w:val="subscript"/>
        </w:rPr>
        <w:t>j</w:t>
      </w:r>
      <w:r>
        <w:t>)。由于每次转换都严格增加模型进度，执行图具有有向无环结构。驻留区间可以重叠，而单个请求沿路径执行的层仍保持连续且不重复。</w:t>
      </w:r>
    </w:p>
    <w:p>
      <w:pPr>
        <w:jc w:val="both"/>
      </w:pPr>
      <w:r>
        <w:t>这一表示统一了放置、空间准入和路由的合法性接口。当前验证覆盖六种实际布局的层进度、图导出一致性、规范与稀疏空间可达性，以及非法配置负例。合法性是系统执行的基础条件，因此通过结构检查与性质分析评价，而不通过关闭合法性约束构造性能对照。</w:t>
      </w:r>
    </w:p>
    <w:p>
      <w:pPr>
        <w:pStyle w:val="Heading2"/>
      </w:pPr>
      <w:r>
        <w:t>3.2 分段共享与复制放置</w:t>
      </w:r>
    </w:p>
    <w:p>
      <w:pPr>
        <w:jc w:val="both"/>
      </w:pPr>
      <w:r>
        <w:t>RCAPS 将模型划分为连续的两段或三段，初始段采用共享副本链，后续各段允许配置多个副本，每段副本数不超过四个。各副本使用互不重叠的 GPU 集合，链内按顺序覆盖所属层段。不同模型段的复制程度可以不同，从而在容量约束下形成分支或汇合结构。</w:t>
      </w:r>
    </w:p>
    <w:p>
      <w:pPr>
        <w:jc w:val="both"/>
      </w:pPr>
      <w:r>
        <w:t>候选方案首先接受可行性检查，包括模型层覆盖、GPU 层容量、正 KV 容量、物理连通性和完整路径可达性。通过检查后，搜索使用首 token 服务代理、Decode 服务代理和瓶颈需求代理的归一化加权和进行评价，三个权重分别为 0.40、0.35 和 0.25。有限候选保留与局部邻域搜索在给定预算内改进布局，最终输出部署方案及其层兼容执行图。[资料 5]</w:t>
      </w:r>
    </w:p>
    <w:p>
      <w:pPr>
        <w:jc w:val="both"/>
      </w:pPr>
      <w:r>
        <w:t>该设计同时改变计算分工、驻留副本量与网络分流结构。放置代理目标用于筛选候选方案，最终吞吐和尾延迟仍由请求在共享资源上的执行决定。因此，放置对照应评价整个部署设计的效果，并同时说明副本容量是否发生变化。</w:t>
      </w:r>
    </w:p>
    <w:p>
      <w:pPr>
        <w:pStyle w:val="Heading2"/>
      </w:pPr>
      <w:r>
        <w:t>3.3 与后续调度的衔接</w:t>
      </w:r>
    </w:p>
    <w:p>
      <w:pPr>
        <w:jc w:val="both"/>
      </w:pPr>
      <w:r>
        <w:t>放置提供候选路径，但不预先确定所有请求的具体走向。在线路由可以根据实时状态使用不同合法连接；空间准入进一步决定哪些连接向路由开放。这使结构性资源配置与运行时请求调度共享同一执行表示，同时保留各自的决策时间尺度。</w:t>
      </w:r>
    </w:p>
    <w:p>
      <w:pPr>
        <w:pStyle w:val="Heading1"/>
      </w:pPr>
      <w:r>
        <w:t>4 工作二：队列与会话感知的在线路由</w:t>
      </w:r>
    </w:p>
    <w:p>
      <w:pPr>
        <w:pStyle w:val="Heading2"/>
      </w:pPr>
      <w:r>
        <w:t>4.1 当前队列与持续服务负担</w:t>
      </w:r>
    </w:p>
    <w:p>
      <w:pPr>
        <w:jc w:val="both"/>
      </w:pPr>
      <w:r>
        <w:t>在线路由在新请求到达时构造资源快照。GPU 状态包括正在执行批次的剩余工作和已进入队列的工作；网络状态考虑当前发送、两端网卡占用及已有固定路径请求的待发送工作。服务画像提供新请求在各候选节点上的 Prompt 计算时间和相应传输代价。[资料 5]</w:t>
      </w:r>
    </w:p>
    <w:p>
      <w:pPr>
        <w:jc w:val="both"/>
      </w:pPr>
      <w:r>
        <w:t>除即时等待外，路由统计经过各 GPU 的活跃会话数量，并使用单 token Decode 服务画像对持续服务负担定价。该项表达已有会话还会反复占用计算资源这一事实，不依赖请求未来输出长度。它与当前队列项分别反映持续负担和即时竞争。</w:t>
      </w:r>
    </w:p>
    <w:p>
      <w:pPr>
        <w:pStyle w:val="Heading2"/>
      </w:pPr>
      <w:r>
        <w:t>4.2 完整会话路径选择</w:t>
      </w:r>
    </w:p>
    <w:p>
      <w:pPr>
        <w:jc w:val="both"/>
      </w:pPr>
      <w:r>
        <w:t>路径代价组合 Prompt 计算、GPU 等待、链路及网卡等待、激活传输和活跃会话服务代价。由于执行图按照层进度有序，路由可在固定快照下进行层序动态规划，求取累计代理代价最低的完整路径。</w:t>
      </w:r>
    </w:p>
    <w:p>
      <w:pPr>
        <w:jc w:val="both"/>
      </w:pPr>
      <w:r>
        <w:t>路径确定后，会话的后续 Decode 沿用同一 GPU 序列与执行层区间，使 KV 状态保持在原执行位置。执行器对已就绪 Decode 提供发送优先级，并合并同一传输跳上已经就绪的 Decode 发送。该规则不额外等待未来请求以凑成更大批量。</w:t>
      </w:r>
    </w:p>
    <w:p>
      <w:pPr>
        <w:jc w:val="both"/>
      </w:pPr>
      <w:r>
        <w:t>会话代价有助于避免请求过度集中，但分散后的批量可能较小。因此，在线路由的评价同时关注响应时间和 GPU 工作量。当前实现保持会话路径一致性；全路径 KV 剩余容量预留与请求准入尚未形成完整机制。</w:t>
      </w:r>
    </w:p>
    <w:p>
      <w:pPr>
        <w:pStyle w:val="Heading2"/>
      </w:pPr>
      <w:r>
        <w:t>4.3 验证逻辑</w:t>
      </w:r>
    </w:p>
    <w:p>
      <w:pPr>
        <w:jc w:val="both"/>
      </w:pPr>
      <w:r>
        <w:t>在线路由需要两类对照。静态状态替换检验实时资源感知的整体价值；在保留其他状态项的条件下关闭会话代价，则单独检验持续服务负担的作用。第 6 节分别呈现这两类实验，避免把完整在线路由的收益全部归于某一个状态项。</w:t>
      </w:r>
    </w:p>
    <w:p>
      <w:pPr>
        <w:pStyle w:val="Heading1"/>
      </w:pPr>
      <w:r>
        <w:t>5 工作三：面向 Decode 的时空执行整形</w:t>
      </w:r>
    </w:p>
    <w:p>
      <w:pPr>
        <w:pStyle w:val="Heading2"/>
      </w:pPr>
      <w:r>
        <w:t>5.1 空间准入控制会话分散</w:t>
      </w:r>
    </w:p>
    <w:p>
      <w:pPr>
        <w:jc w:val="both"/>
      </w:pPr>
      <w:r>
        <w:t>原汇报中的第三项工作是路径空间控制。当前完整 RCAPS 在这一基础上加入通信时间组织，使其形成时空执行整形。空间部分以部署指定的规范副本路径为基础，结合物理慢链路条件选择性开放跨副本绕行连接，在保留基本可达结构的同时限制额外路径分散。[资料 5]</w:t>
      </w:r>
    </w:p>
    <w:p>
      <w:pPr>
        <w:jc w:val="both"/>
      </w:pPr>
      <w:r>
        <w:t>空间准入作用于合法执行图的边集合，形成供在线路由使用的准入图。它不直接规定 Decode 批量，也不拒绝请求。实际批量由请求到达、上游进度和执行器就绪条件共同形成。规范路径、稀疏准入路径与完整路径空间的对照用于检验保留绕行机会和保持执行聚合之间的取舍。</w:t>
      </w:r>
    </w:p>
    <w:p>
      <w:pPr>
        <w:pStyle w:val="Heading2"/>
      </w:pPr>
      <w:r>
        <w:t>5.2 时间分块提供传输让出机会</w:t>
      </w:r>
    </w:p>
    <w:p>
      <w:pPr>
        <w:jc w:val="both"/>
      </w:pPr>
      <w:r>
        <w:t>时间部分对符合条件的 GPU 间慢链路上的 Prompt 激活传输进行固定粒度分块。默认适用带宽阈值为 50 MB/s，块长为 4 MiB，入口与输出连接不在分块范围内。每个中间块完成后释放相应链路及发送、接收网卡资源，使已就绪的 Decode 传输获得调度机会。[资料 5]</w:t>
      </w:r>
    </w:p>
    <w:p>
      <w:pPr>
        <w:jc w:val="both"/>
      </w:pPr>
      <w:r>
        <w:t>下游 GPU 在收到完整激活载荷后继续计算，因此该机制改变的是激活通信的资源占用时间，而不是 Prompt 计算的切分。对于载荷不超过块长的传输，不产生中间让出边界。是否发生 Decode 插入，还取决于块边界处是否存在已就绪竞争传输。</w:t>
      </w:r>
    </w:p>
    <w:p>
      <w:pPr>
        <w:jc w:val="both"/>
      </w:pPr>
      <w:r>
        <w:t>分块不会减少有效载荷字节数，却可能增加资源重新调度的次数。因此，块长、作用链路范围和块间附加占用成本共同影响其收益。现有默认配置是冻结的执行选择，参数敏感性实验用于说明取舍。</w:t>
      </w:r>
    </w:p>
    <w:p>
      <w:pPr>
        <w:pStyle w:val="Heading2"/>
      </w:pPr>
      <w:r>
        <w:t>5.3 两类控制的关系</w:t>
      </w:r>
    </w:p>
    <w:p>
      <w:pPr>
        <w:jc w:val="both"/>
      </w:pPr>
      <w:r>
        <w:t>空间准入改变会话可能共享哪些资源，时间分块改变共享资源何时能够让出。两者分别针对路径分散与长消息占用，不要求在每个场景中产生相同方向的指标变化。空间控制可能主要减少计算工作，而时间控制可能主要缩短通信等待；共同作用的效果需要通过完整四格对照直接测量。</w:t>
      </w:r>
    </w:p>
    <w:p>
      <w:pPr>
        <w:jc w:val="both"/>
      </w:pPr>
      <w:r>
        <w:t>整体执行顺序为：部署导出合法执行图，空间准入生成准入图，在线路由选择会话路径，执行器沿路径运行，并在符合条件的 Prompt 传输块边界释放资源。第三项工作横跨选路之前和传输执行内部两个位置。</w:t>
      </w:r>
    </w:p>
    <w:p>
      <w:pPr>
        <w:keepLines/>
        <w:shd w:fill="F3F4F6" w:val="clear"/>
        <w:spacing w:before="140" w:after="160" w:line="288" w:lineRule="auto"/>
        <w:ind w:firstLine="0" w:left="142" w:right="142"/>
      </w:pPr>
      <w:r>
        <w:rPr>
          <w:rFonts w:ascii="Times New Roman" w:hAnsi="Times New Roman" w:eastAsia="宋体"/>
          <w:sz w:val="20"/>
        </w:rPr>
        <w:t>图位 2：RCAPS 整体结构。展示物理资源与服务画像、部署搜索、合法图、空间准入、会话选路和执行器之间的关系，标明实时状态输入与传输让出位置。此处保留图位。</w:t>
      </w:r>
    </w:p>
    <w:p>
      <w:pPr>
        <w:keepLines/>
        <w:shd w:fill="F3F4F6" w:val="clear"/>
        <w:spacing w:before="140" w:after="160" w:line="288" w:lineRule="auto"/>
        <w:ind w:firstLine="0" w:left="142" w:right="142"/>
      </w:pPr>
      <w:r>
        <w:rPr>
          <w:rFonts w:ascii="Times New Roman" w:hAnsi="Times New Roman" w:eastAsia="宋体"/>
          <w:sz w:val="20"/>
        </w:rPr>
        <w:t>图位 3：Prompt 激活传输分块。对比连续传输和块间让出时的链路占用，标明 Decode 插入及下游等待完整载荷的条件。此处保留图位。</w:t>
      </w:r>
    </w:p>
    <w:p>
      <w:pPr>
        <w:pStyle w:val="Heading1"/>
      </w:pPr>
      <w:r>
        <w:t>6 实验验证与结果分析</w:t>
      </w:r>
    </w:p>
    <w:p>
      <w:pPr>
        <w:pStyle w:val="Heading2"/>
      </w:pPr>
      <w:r>
        <w:t>6.1 实验对象与统计口径</w:t>
      </w:r>
    </w:p>
    <w:p>
      <w:pPr>
        <w:jc w:val="both"/>
      </w:pPr>
      <w:r>
        <w:t>本节使用共同模拟器中的完整 RCAPS 和外部方法适配器，采用相同请求协议开展比较。主要正式窗口为 1800 秒，零预热且不排空，种子为 0、1、2。表中的 350、700、160 和 320 沿用登记的负载参数标识，不作为实测输出吞吐数值。[资料 2–4]</w:t>
      </w:r>
    </w:p>
    <w:p>
      <w:pPr>
        <w:jc w:val="both"/>
      </w:pPr>
      <w:r>
        <w:t>TTFT 表示首 token 延迟。请求级 TPOT 先计算每个请求已观测到的相邻输出 token 间隔均值，再对请求级数值取 P95；它与全部 token 间隔直接合并后的 P95 不同。输出吞吐为观测窗口内的输出 token/s。GPU 工作量以 GPU 忙碌秒数除以输出 token 数衡量，不等同于能耗或部署成本。</w:t>
      </w:r>
    </w:p>
    <w:p>
      <w:pPr>
        <w:jc w:val="both"/>
      </w:pPr>
      <w:r>
        <w:t>绝对指标报告三种子均值，相对变化先按种子计算“处理配置 / 对照配置 − 1”，再取均值。表中“±”为种子间样本标准差。固定窗口内未完成请求构成右删失，因此延迟需要结合完成率和末端积压解释。另有固定 1800 秒到达前缀、观察至 5400 秒的尾部实验，用于在相同输出工作量全部完成后比较延迟与计算工作。</w:t>
      </w:r>
    </w:p>
    <w:p>
      <w:pPr>
        <w:pStyle w:val="Heading2"/>
      </w:pPr>
      <w:r>
        <w:t>6.2 完整 RCAPS 与外部方法比较</w:t>
      </w:r>
    </w:p>
    <w:p>
      <w:pPr>
        <w:jc w:val="both"/>
      </w:pPr>
      <w:r>
        <w:t>表 2 将完整 RCAPS 放在主结果位置。单集群 350 与三集群 160 是四种方法均具有完整三种子结果的共同较低负载点；较高负载的完整配对比较另列 Helix。所有数值来自当前统一口径的验证报告。[资料 3]</w:t>
      </w:r>
    </w:p>
    <w:p>
      <w:pPr>
        <w:pStyle w:val="Caption"/>
        <w:jc w:val="center"/>
      </w:pPr>
      <w:r>
        <w:t>表 2 外部方法比较：三种子均值</w:t>
      </w:r>
    </w:p>
    <w:tbl>
      <w:tblPr>
        <w:tblW w:type="auto" w:w="0"/>
        <w:jc w:val="center"/>
        <w:tblBorders>
          <w:top w:val="single" w:sz="10" w:color="555555"/>
          <w:left w:val="nil"/>
          <w:bottom w:val="single" w:sz="10" w:color="555555"/>
          <w:right w:val="nil"/>
          <w:insideH w:val="nil"/>
          <w:insideV w:val="nil"/>
        </w:tblBorders>
        <w:tblLayout w:type="fixed"/>
        <w:tblCellMar>
          <w:top w:w="75" w:type="dxa"/>
          <w:left w:w="70" w:type="dxa"/>
          <w:bottom w:w="75" w:type="dxa"/>
          <w:right w:w="70" w:type="dxa"/>
        </w:tblCellMar>
        <w:tblLook w:firstColumn="1" w:firstRow="1" w:lastColumn="0" w:lastRow="0" w:noHBand="0" w:noVBand="1" w:val="04A0"/>
      </w:tblPr>
      <w:tblGrid>
        <w:gridCol w:w="2268"/>
        <w:gridCol w:w="1134"/>
        <w:gridCol w:w="1134"/>
        <w:gridCol w:w="1134"/>
        <w:gridCol w:w="1247"/>
        <w:gridCol w:w="1134"/>
        <w:gridCol w:w="1020"/>
      </w:tblGrid>
      <w:tr>
        <w:trPr>
          <w:cantSplit/>
          <w:tblHeader/>
        </w:trPr>
        <w:tc>
          <w:tcPr>
            <w:tcW w:type="dxa" w:w="2268"/>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场景与方法</w:t>
            </w:r>
          </w:p>
        </w:tc>
        <w:tc>
          <w:tcPr>
            <w:tcW w:type="dxa" w:w="113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输出 token/s</w:t>
            </w:r>
          </w:p>
        </w:tc>
        <w:tc>
          <w:tcPr>
            <w:tcW w:type="dxa" w:w="113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TTFT P95（s）</w:t>
            </w:r>
          </w:p>
        </w:tc>
        <w:tc>
          <w:tcPr>
            <w:tcW w:type="dxa" w:w="113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TPOT P95（s）</w:t>
            </w:r>
          </w:p>
        </w:tc>
        <w:tc>
          <w:tcPr>
            <w:tcW w:type="dxa" w:w="1247"/>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GPU s/token</w:t>
            </w:r>
          </w:p>
        </w:tc>
        <w:tc>
          <w:tcPr>
            <w:tcW w:type="dxa" w:w="113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完成率（%）</w:t>
            </w:r>
          </w:p>
        </w:tc>
        <w:tc>
          <w:tcPr>
            <w:tcW w:type="dxa" w:w="1020"/>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末端积压</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单集群 350 · RCAPS</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76.090</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3.161</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0.394</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0.12170</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94.831</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32.33</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单集群 350 · Helix</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71.886</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5.491</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1.066</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0.15519</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88.698</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70.67</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单集群 350 · Swarm</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69.160</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6.405</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1.390</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0.14052</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83.686</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102.00</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单集群 350 · SP</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75.636</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4.354</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1.065</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0.14123</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94.080</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37.00</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三集群 160 · RCAPS</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35.976</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4.964</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0.526</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0.11396</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94.195</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16.67</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三集群 160 · Helix</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33.548</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12.309</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1.543</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0.23096</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84.094</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45.67</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三集群 160 · Swarm</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29.971</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18.061</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2.584</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0.21993</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72.359</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79.33</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三集群 160 · SP</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31.650</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17.209</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2.309</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0.29548</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77.814</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63.67</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单集群 700 · RCAPS</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157.030</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3.511</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0.506</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0.05330</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94.052</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76.33</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单集群 700 · Helix</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142.270</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6.575</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1.706</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0.05825</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81.954</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231.67</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三集群 320 · RCAPS</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70.985</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5.107</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0.605</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0.06506</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92.295</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44.67</w:t>
            </w:r>
          </w:p>
        </w:tc>
      </w:tr>
      <w:tr>
        <w:trPr>
          <w:cantSplit/>
        </w:trPr>
        <w:tc>
          <w:tcPr>
            <w:tcW w:type="dxa" w:w="2268"/>
            <w:vAlign w:val="center"/>
          </w:tcPr>
          <w:p>
            <w:pPr>
              <w:keepNext w:val="0"/>
              <w:widowControl/>
              <w:spacing w:before="0" w:after="0" w:line="271" w:lineRule="auto"/>
              <w:ind w:firstLine="0"/>
              <w:jc w:val="left"/>
            </w:pPr>
            <w:r>
              <w:rPr>
                <w:rFonts w:ascii="Times New Roman" w:hAnsi="Times New Roman" w:eastAsia="宋体"/>
                <w:b w:val="0"/>
                <w:sz w:val="18"/>
              </w:rPr>
              <w:t>三集群 320 · Helix</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58.255</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15.583</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3.195</w:t>
            </w:r>
          </w:p>
        </w:tc>
        <w:tc>
          <w:tcPr>
            <w:tcW w:type="dxa" w:w="1247"/>
            <w:vAlign w:val="center"/>
          </w:tcPr>
          <w:p>
            <w:pPr>
              <w:keepNext w:val="0"/>
              <w:widowControl/>
              <w:spacing w:before="0" w:after="0" w:line="271" w:lineRule="auto"/>
              <w:ind w:firstLine="0"/>
              <w:jc w:val="center"/>
            </w:pPr>
            <w:r>
              <w:rPr>
                <w:rFonts w:ascii="Times New Roman" w:hAnsi="Times New Roman" w:eastAsia="宋体"/>
                <w:b w:val="0"/>
                <w:sz w:val="18"/>
              </w:rPr>
              <w:t>0.08957</w:t>
            </w:r>
          </w:p>
        </w:tc>
        <w:tc>
          <w:tcPr>
            <w:tcW w:type="dxa" w:w="1134"/>
            <w:vAlign w:val="center"/>
          </w:tcPr>
          <w:p>
            <w:pPr>
              <w:keepNext w:val="0"/>
              <w:widowControl/>
              <w:spacing w:before="0" w:after="0" w:line="271" w:lineRule="auto"/>
              <w:ind w:firstLine="0"/>
              <w:jc w:val="center"/>
            </w:pPr>
            <w:r>
              <w:rPr>
                <w:rFonts w:ascii="Times New Roman" w:hAnsi="Times New Roman" w:eastAsia="宋体"/>
                <w:b w:val="0"/>
                <w:sz w:val="18"/>
              </w:rPr>
              <w:t>70.208</w:t>
            </w:r>
          </w:p>
        </w:tc>
        <w:tc>
          <w:tcPr>
            <w:tcW w:type="dxa" w:w="1020"/>
            <w:vAlign w:val="center"/>
          </w:tcPr>
          <w:p>
            <w:pPr>
              <w:keepNext w:val="0"/>
              <w:widowControl/>
              <w:spacing w:before="0" w:after="0" w:line="271" w:lineRule="auto"/>
              <w:ind w:firstLine="0"/>
              <w:jc w:val="center"/>
            </w:pPr>
            <w:r>
              <w:rPr>
                <w:rFonts w:ascii="Times New Roman" w:hAnsi="Times New Roman" w:eastAsia="宋体"/>
                <w:b w:val="0"/>
                <w:sz w:val="18"/>
              </w:rPr>
              <w:t>172.67</w:t>
            </w:r>
          </w:p>
        </w:tc>
      </w:tr>
    </w:tbl>
    <w:p>
      <w:pPr>
        <w:spacing w:line="288" w:lineRule="auto"/>
        <w:ind w:firstLine="0"/>
      </w:pPr>
      <w:r>
        <w:rPr>
          <w:rFonts w:ascii="Times New Roman" w:hAnsi="Times New Roman" w:eastAsia="宋体"/>
          <w:sz w:val="18"/>
        </w:rPr>
        <w:t>注：SP 为 Separate Pipelines。末端积压单位为请求；均值可以为非整数。吞吐与完成率越高越好，其余表列指标越低越好。</w:t>
      </w:r>
    </w:p>
    <w:p>
      <w:pPr>
        <w:jc w:val="both"/>
      </w:pPr>
      <w:r>
        <w:t>在两个共同较低负载点上，RCAPS 相对三种外部方法的 TPOT P95 降低 62.95%–79.59%，TTFT P95 降低 27.38%–72.51%。吞吐变化依比较对象而异：相对 Swarm，单集群和三集群分别提高 10.02% 与 20.05%；相对 SP，单集群提高 0.61%，三集群提高 13.74%。单集群相对 SP 的吞吐差距较小，主要优势表现为延迟改善。</w:t>
      </w:r>
    </w:p>
    <w:p>
      <w:pPr>
        <w:jc w:val="both"/>
      </w:pPr>
      <w:r>
        <w:t>在较高共同负载下，相对 Helix，单集群 700 和三集群 320 的吞吐分别提高 10.37% 和 21.86%，TPOT P95 分别降低 70.30% 和 81.05%。高负载 Swarm/SP 的 12 个新增窗口仅 1 个成功，未形成任何完整三种子组；失败结果保留，不换算为零吞吐或无限延迟。因此，现有比较范围由表中实际完成的配对条件界定。</w:t>
      </w:r>
    </w:p>
    <w:p>
      <w:pPr>
        <w:pStyle w:val="Heading2"/>
      </w:pPr>
      <w:r>
        <w:t>6.3 放置与实时路由的完整系统消融</w:t>
      </w:r>
    </w:p>
    <w:p>
      <w:pPr>
        <w:jc w:val="both"/>
      </w:pPr>
      <w:r>
        <w:t>表 3 从完整 RCAPS 出发，分别替换为受限放置或静态状态路由，其他控制保持对应协议一致。[资料 2]</w:t>
      </w:r>
    </w:p>
    <w:p>
      <w:pPr>
        <w:pStyle w:val="Caption"/>
        <w:jc w:val="center"/>
      </w:pPr>
      <w:r>
        <w:t>表 3 完整 RCAPS 相对组件替换的变化（%，均值 ± 标准差）</w:t>
      </w:r>
    </w:p>
    <w:tbl>
      <w:tblPr>
        <w:tblW w:type="auto" w:w="0"/>
        <w:jc w:val="center"/>
        <w:tblBorders>
          <w:top w:val="single" w:sz="10" w:color="555555"/>
          <w:left w:val="nil"/>
          <w:bottom w:val="single" w:sz="10" w:color="555555"/>
          <w:right w:val="nil"/>
          <w:insideH w:val="nil"/>
          <w:insideV w:val="nil"/>
        </w:tblBorders>
        <w:tblLayout w:type="fixed"/>
        <w:tblCellMar>
          <w:top w:w="75" w:type="dxa"/>
          <w:left w:w="70" w:type="dxa"/>
          <w:bottom w:w="75" w:type="dxa"/>
          <w:right w:w="70" w:type="dxa"/>
        </w:tblCellMar>
        <w:tblLook w:firstColumn="1" w:firstRow="1" w:lastColumn="0" w:lastRow="0" w:noHBand="0" w:noVBand="1" w:val="04A0"/>
      </w:tblPr>
      <w:tblGrid>
        <w:gridCol w:w="1474"/>
        <w:gridCol w:w="1701"/>
        <w:gridCol w:w="1474"/>
        <w:gridCol w:w="1474"/>
        <w:gridCol w:w="1474"/>
        <w:gridCol w:w="1474"/>
      </w:tblGrid>
      <w:tr>
        <w:trPr>
          <w:cantSplit/>
          <w:tblHeader/>
        </w:trPr>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场景</w:t>
            </w:r>
          </w:p>
        </w:tc>
        <w:tc>
          <w:tcPr>
            <w:tcW w:type="dxa" w:w="1701"/>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替换对照</w:t>
            </w:r>
          </w:p>
        </w:tc>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输出吞吐</w:t>
            </w:r>
          </w:p>
        </w:tc>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TTFT P95</w:t>
            </w:r>
          </w:p>
        </w:tc>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TPOT P95</w:t>
            </w:r>
          </w:p>
        </w:tc>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GPU 工作/token</w:t>
            </w:r>
          </w:p>
        </w:tc>
      </w:tr>
      <w:tr>
        <w:trPr>
          <w:cantSplit/>
        </w:trPr>
        <w:tc>
          <w:tcPr>
            <w:tcW w:type="dxa" w:w="1474"/>
            <w:vAlign w:val="center"/>
          </w:tcPr>
          <w:p>
            <w:pPr>
              <w:keepNext/>
              <w:widowControl/>
              <w:spacing w:before="0" w:after="0" w:line="271" w:lineRule="auto"/>
              <w:ind w:firstLine="0"/>
              <w:jc w:val="left"/>
            </w:pPr>
            <w:r>
              <w:rPr>
                <w:rFonts w:ascii="Times New Roman" w:hAnsi="Times New Roman" w:eastAsia="宋体"/>
                <w:b w:val="0"/>
                <w:sz w:val="18"/>
              </w:rPr>
              <w:t>单集群 700</w:t>
            </w:r>
          </w:p>
        </w:tc>
        <w:tc>
          <w:tcPr>
            <w:tcW w:type="dxa" w:w="1701"/>
            <w:vAlign w:val="center"/>
          </w:tcPr>
          <w:p>
            <w:pPr>
              <w:keepNext/>
              <w:widowControl/>
              <w:spacing w:before="0" w:after="0" w:line="271" w:lineRule="auto"/>
              <w:ind w:firstLine="0"/>
              <w:jc w:val="center"/>
            </w:pPr>
            <w:r>
              <w:rPr>
                <w:rFonts w:ascii="Times New Roman" w:hAnsi="Times New Roman" w:eastAsia="宋体"/>
                <w:b w:val="0"/>
                <w:sz w:val="18"/>
              </w:rPr>
              <w:t>受限放置</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+2.05 ± 0.32</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−21.28 ± 1.71</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−31.49 ± 1.28</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+173.48 ± 2.04</w:t>
            </w:r>
          </w:p>
        </w:tc>
      </w:tr>
      <w:tr>
        <w:trPr>
          <w:cantSplit/>
        </w:trPr>
        <w:tc>
          <w:tcPr>
            <w:tcW w:type="dxa" w:w="1474"/>
            <w:vAlign w:val="center"/>
          </w:tcPr>
          <w:p>
            <w:pPr>
              <w:keepNext/>
              <w:widowControl/>
              <w:spacing w:before="0" w:after="0" w:line="271" w:lineRule="auto"/>
              <w:ind w:firstLine="0"/>
              <w:jc w:val="left"/>
            </w:pPr>
            <w:r>
              <w:rPr>
                <w:rFonts w:ascii="Times New Roman" w:hAnsi="Times New Roman" w:eastAsia="宋体"/>
                <w:b w:val="0"/>
                <w:sz w:val="18"/>
              </w:rPr>
              <w:t>三集群 320</w:t>
            </w:r>
          </w:p>
        </w:tc>
        <w:tc>
          <w:tcPr>
            <w:tcW w:type="dxa" w:w="1701"/>
            <w:vAlign w:val="center"/>
          </w:tcPr>
          <w:p>
            <w:pPr>
              <w:keepNext/>
              <w:widowControl/>
              <w:spacing w:before="0" w:after="0" w:line="271" w:lineRule="auto"/>
              <w:ind w:firstLine="0"/>
              <w:jc w:val="center"/>
            </w:pPr>
            <w:r>
              <w:rPr>
                <w:rFonts w:ascii="Times New Roman" w:hAnsi="Times New Roman" w:eastAsia="宋体"/>
                <w:b w:val="0"/>
                <w:sz w:val="18"/>
              </w:rPr>
              <w:t>受限放置</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+0.03 ± 0.06</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+1.47 ± 2.75</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+0.16 ± 0.70</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−0.03 ± 1.20</w:t>
            </w:r>
          </w:p>
        </w:tc>
      </w:tr>
      <w:tr>
        <w:trPr>
          <w:cantSplit/>
        </w:trPr>
        <w:tc>
          <w:tcPr>
            <w:tcW w:type="dxa" w:w="1474"/>
            <w:vAlign w:val="center"/>
          </w:tcPr>
          <w:p>
            <w:pPr>
              <w:keepNext/>
              <w:widowControl/>
              <w:spacing w:before="0" w:after="0" w:line="271" w:lineRule="auto"/>
              <w:ind w:firstLine="0"/>
              <w:jc w:val="left"/>
            </w:pPr>
            <w:r>
              <w:rPr>
                <w:rFonts w:ascii="Times New Roman" w:hAnsi="Times New Roman" w:eastAsia="宋体"/>
                <w:b w:val="0"/>
                <w:sz w:val="18"/>
              </w:rPr>
              <w:t>单集群 700</w:t>
            </w:r>
          </w:p>
        </w:tc>
        <w:tc>
          <w:tcPr>
            <w:tcW w:type="dxa" w:w="1701"/>
            <w:vAlign w:val="center"/>
          </w:tcPr>
          <w:p>
            <w:pPr>
              <w:keepNext/>
              <w:widowControl/>
              <w:spacing w:before="0" w:after="0" w:line="271" w:lineRule="auto"/>
              <w:ind w:firstLine="0"/>
              <w:jc w:val="center"/>
            </w:pPr>
            <w:r>
              <w:rPr>
                <w:rFonts w:ascii="Times New Roman" w:hAnsi="Times New Roman" w:eastAsia="宋体"/>
                <w:b w:val="0"/>
                <w:sz w:val="18"/>
              </w:rPr>
              <w:t>静态状态路由</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+7.44 ± 0.63</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−23.50 ± 0.59</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−59.94 ± 1.70</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+303.23 ± 2.03</w:t>
            </w:r>
          </w:p>
        </w:tc>
      </w:tr>
      <w:tr>
        <w:trPr>
          <w:cantSplit/>
        </w:trPr>
        <w:tc>
          <w:tcPr>
            <w:tcW w:type="dxa" w:w="1474"/>
            <w:vAlign w:val="center"/>
          </w:tcPr>
          <w:p>
            <w:pPr>
              <w:keepNext w:val="0"/>
              <w:widowControl/>
              <w:spacing w:before="0" w:after="0" w:line="271" w:lineRule="auto"/>
              <w:ind w:firstLine="0"/>
              <w:jc w:val="left"/>
            </w:pPr>
            <w:r>
              <w:rPr>
                <w:rFonts w:ascii="Times New Roman" w:hAnsi="Times New Roman" w:eastAsia="宋体"/>
                <w:b w:val="0"/>
                <w:sz w:val="18"/>
              </w:rPr>
              <w:t>三集群 320</w:t>
            </w:r>
          </w:p>
        </w:tc>
        <w:tc>
          <w:tcPr>
            <w:tcW w:type="dxa" w:w="1701"/>
            <w:vAlign w:val="center"/>
          </w:tcPr>
          <w:p>
            <w:pPr>
              <w:keepNext w:val="0"/>
              <w:widowControl/>
              <w:spacing w:before="0" w:after="0" w:line="271" w:lineRule="auto"/>
              <w:ind w:firstLine="0"/>
              <w:jc w:val="center"/>
            </w:pPr>
            <w:r>
              <w:rPr>
                <w:rFonts w:ascii="Times New Roman" w:hAnsi="Times New Roman" w:eastAsia="宋体"/>
                <w:b w:val="0"/>
                <w:sz w:val="18"/>
              </w:rPr>
              <w:t>静态状态路由</w:t>
            </w:r>
          </w:p>
        </w:tc>
        <w:tc>
          <w:tcPr>
            <w:tcW w:type="dxa" w:w="1474"/>
            <w:vAlign w:val="center"/>
          </w:tcPr>
          <w:p>
            <w:pPr>
              <w:keepNext w:val="0"/>
              <w:widowControl/>
              <w:spacing w:before="0" w:after="0" w:line="271" w:lineRule="auto"/>
              <w:ind w:firstLine="0"/>
              <w:jc w:val="center"/>
            </w:pPr>
            <w:r>
              <w:rPr>
                <w:rFonts w:ascii="Times New Roman" w:hAnsi="Times New Roman" w:eastAsia="宋体"/>
                <w:b w:val="0"/>
                <w:sz w:val="18"/>
              </w:rPr>
              <w:t>+2.49 ± 0.33</w:t>
            </w:r>
          </w:p>
        </w:tc>
        <w:tc>
          <w:tcPr>
            <w:tcW w:type="dxa" w:w="1474"/>
            <w:vAlign w:val="center"/>
          </w:tcPr>
          <w:p>
            <w:pPr>
              <w:keepNext w:val="0"/>
              <w:widowControl/>
              <w:spacing w:before="0" w:after="0" w:line="271" w:lineRule="auto"/>
              <w:ind w:firstLine="0"/>
              <w:jc w:val="center"/>
            </w:pPr>
            <w:r>
              <w:rPr>
                <w:rFonts w:ascii="Times New Roman" w:hAnsi="Times New Roman" w:eastAsia="宋体"/>
                <w:b w:val="0"/>
                <w:sz w:val="18"/>
              </w:rPr>
              <w:t>−8.87 ± 1.86</w:t>
            </w:r>
          </w:p>
        </w:tc>
        <w:tc>
          <w:tcPr>
            <w:tcW w:type="dxa" w:w="1474"/>
            <w:vAlign w:val="center"/>
          </w:tcPr>
          <w:p>
            <w:pPr>
              <w:keepNext w:val="0"/>
              <w:widowControl/>
              <w:spacing w:before="0" w:after="0" w:line="271" w:lineRule="auto"/>
              <w:ind w:firstLine="0"/>
              <w:jc w:val="center"/>
            </w:pPr>
            <w:r>
              <w:rPr>
                <w:rFonts w:ascii="Times New Roman" w:hAnsi="Times New Roman" w:eastAsia="宋体"/>
                <w:b w:val="0"/>
                <w:sz w:val="18"/>
              </w:rPr>
              <w:t>−31.47 ± 0.39</w:t>
            </w:r>
          </w:p>
        </w:tc>
        <w:tc>
          <w:tcPr>
            <w:tcW w:type="dxa" w:w="1474"/>
            <w:vAlign w:val="center"/>
          </w:tcPr>
          <w:p>
            <w:pPr>
              <w:keepNext w:val="0"/>
              <w:widowControl/>
              <w:spacing w:before="0" w:after="0" w:line="271" w:lineRule="auto"/>
              <w:ind w:firstLine="0"/>
              <w:jc w:val="center"/>
            </w:pPr>
            <w:r>
              <w:rPr>
                <w:rFonts w:ascii="Times New Roman" w:hAnsi="Times New Roman" w:eastAsia="宋体"/>
                <w:b w:val="0"/>
                <w:sz w:val="18"/>
              </w:rPr>
              <w:t>+256.78 ± 16.03</w:t>
            </w:r>
          </w:p>
        </w:tc>
      </w:tr>
    </w:tbl>
    <w:p>
      <w:pPr>
        <w:jc w:val="both"/>
      </w:pPr>
      <w:r>
        <w:t>完整放置在单集群中改善延迟和吞吐，但三集群相对受限放置没有稳定优势。单集群完整与受限布局的层副本总量分别为 147 和 112，三集群两者均为 144，因此该实验评价的是放置结构与复制配置的整体效果。</w:t>
      </w:r>
    </w:p>
    <w:p>
      <w:pPr>
        <w:jc w:val="both"/>
      </w:pPr>
      <w:r>
        <w:t>实时路由在两个场景中均降低 TPOT，并提高固定窗口输出吞吐。相应地，单集群完成率由静态路由的 85.05% 提高到 94.05%，末端积压由约 192 降至 76.3；三集群完成率由 89.07% 提高到 92.29%，积压由约 63.3 降至 44.7。GPU 工作量同时增加，说明响应性改善伴随执行聚合方式的变化。</w:t>
      </w:r>
    </w:p>
    <w:p>
      <w:pPr>
        <w:jc w:val="both"/>
      </w:pPr>
      <w:r>
        <w:t>固定工作量尾部核验进一步表明，在所有配对请求均完成后，完整系统相对静态路由的 TPOT 在两个场景分别降低 58.42% 和 31.54%，GPU 工作增加 326.39% 和 254.52%。因此，计算工作代价不能完全归因于固定窗口中完成请求数量不同。[资料 3]</w:t>
      </w:r>
    </w:p>
    <w:p>
      <w:pPr>
        <w:pStyle w:val="Heading2"/>
      </w:pPr>
      <w:r>
        <w:t>6.4 会话持续服务负担的独立验证</w:t>
      </w:r>
    </w:p>
    <w:p>
      <w:pPr>
        <w:jc w:val="both"/>
      </w:pPr>
      <w:r>
        <w:t>新增会话项消融保留完整部署、实时队列、空间准入和传输分块，仅关闭活跃会话服务代价。两种配置处理相同到达前缀，并观察至 5400 秒，全部完成相同输出工作量。[资料 4]</w:t>
      </w:r>
    </w:p>
    <w:p>
      <w:pPr>
        <w:pStyle w:val="Caption"/>
        <w:jc w:val="center"/>
      </w:pPr>
      <w:r>
        <w:t>表 4 完整 RCAPS 相对关闭会话代价的变化（%）</w:t>
      </w:r>
    </w:p>
    <w:tbl>
      <w:tblPr>
        <w:tblW w:type="auto" w:w="0"/>
        <w:jc w:val="center"/>
        <w:tblBorders>
          <w:top w:val="single" w:sz="10" w:color="555555"/>
          <w:left w:val="nil"/>
          <w:bottom w:val="single" w:sz="10" w:color="555555"/>
          <w:right w:val="nil"/>
          <w:insideH w:val="nil"/>
          <w:insideV w:val="nil"/>
        </w:tblBorders>
        <w:tblLayout w:type="fixed"/>
        <w:tblCellMar>
          <w:top w:w="75" w:type="dxa"/>
          <w:left w:w="70" w:type="dxa"/>
          <w:bottom w:w="75" w:type="dxa"/>
          <w:right w:w="70" w:type="dxa"/>
        </w:tblCellMar>
        <w:tblLook w:firstColumn="1" w:firstRow="1" w:lastColumn="0" w:lastRow="0" w:noHBand="0" w:noVBand="1" w:val="04A0"/>
      </w:tblPr>
      <w:tblGrid>
        <w:gridCol w:w="1928"/>
        <w:gridCol w:w="1871"/>
        <w:gridCol w:w="1871"/>
        <w:gridCol w:w="1871"/>
        <w:gridCol w:w="1531"/>
      </w:tblGrid>
      <w:tr>
        <w:trPr>
          <w:cantSplit/>
          <w:tblHeader/>
        </w:trPr>
        <w:tc>
          <w:tcPr>
            <w:tcW w:type="dxa" w:w="1928"/>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场景</w:t>
            </w:r>
          </w:p>
        </w:tc>
        <w:tc>
          <w:tcPr>
            <w:tcW w:type="dxa" w:w="1871"/>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TTFT P95</w:t>
            </w:r>
          </w:p>
        </w:tc>
        <w:tc>
          <w:tcPr>
            <w:tcW w:type="dxa" w:w="1871"/>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TPOT P95</w:t>
            </w:r>
          </w:p>
        </w:tc>
        <w:tc>
          <w:tcPr>
            <w:tcW w:type="dxa" w:w="1871"/>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GPU 工作/token</w:t>
            </w:r>
          </w:p>
        </w:tc>
        <w:tc>
          <w:tcPr>
            <w:tcW w:type="dxa" w:w="1531"/>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输出吞吐</w:t>
            </w:r>
          </w:p>
        </w:tc>
      </w:tr>
      <w:tr>
        <w:trPr>
          <w:cantSplit/>
        </w:trPr>
        <w:tc>
          <w:tcPr>
            <w:tcW w:type="dxa" w:w="1928"/>
            <w:vAlign w:val="center"/>
          </w:tcPr>
          <w:p>
            <w:pPr>
              <w:keepNext/>
              <w:widowControl/>
              <w:spacing w:before="0" w:after="0" w:line="271" w:lineRule="auto"/>
              <w:ind w:firstLine="0"/>
              <w:jc w:val="left"/>
            </w:pPr>
            <w:r>
              <w:rPr>
                <w:rFonts w:ascii="Times New Roman" w:hAnsi="Times New Roman" w:eastAsia="宋体"/>
                <w:b w:val="0"/>
                <w:sz w:val="20"/>
              </w:rPr>
              <w:t>单集群 700</w:t>
            </w:r>
          </w:p>
        </w:tc>
        <w:tc>
          <w:tcPr>
            <w:tcW w:type="dxa" w:w="1871"/>
            <w:vAlign w:val="center"/>
          </w:tcPr>
          <w:p>
            <w:pPr>
              <w:keepNext/>
              <w:widowControl/>
              <w:spacing w:before="0" w:after="0" w:line="271" w:lineRule="auto"/>
              <w:ind w:firstLine="0"/>
              <w:jc w:val="center"/>
            </w:pPr>
            <w:r>
              <w:rPr>
                <w:rFonts w:ascii="Times New Roman" w:hAnsi="Times New Roman" w:eastAsia="宋体"/>
                <w:b w:val="0"/>
                <w:sz w:val="20"/>
              </w:rPr>
              <w:t>+0.05 ± 2.48</w:t>
            </w:r>
          </w:p>
        </w:tc>
        <w:tc>
          <w:tcPr>
            <w:tcW w:type="dxa" w:w="1871"/>
            <w:vAlign w:val="center"/>
          </w:tcPr>
          <w:p>
            <w:pPr>
              <w:keepNext/>
              <w:widowControl/>
              <w:spacing w:before="0" w:after="0" w:line="271" w:lineRule="auto"/>
              <w:ind w:firstLine="0"/>
              <w:jc w:val="center"/>
            </w:pPr>
            <w:r>
              <w:rPr>
                <w:rFonts w:ascii="Times New Roman" w:hAnsi="Times New Roman" w:eastAsia="宋体"/>
                <w:b w:val="0"/>
                <w:sz w:val="20"/>
              </w:rPr>
              <w:t>−20.40 ± 0.60</w:t>
            </w:r>
          </w:p>
        </w:tc>
        <w:tc>
          <w:tcPr>
            <w:tcW w:type="dxa" w:w="1871"/>
            <w:vAlign w:val="center"/>
          </w:tcPr>
          <w:p>
            <w:pPr>
              <w:keepNext/>
              <w:widowControl/>
              <w:spacing w:before="0" w:after="0" w:line="271" w:lineRule="auto"/>
              <w:ind w:firstLine="0"/>
              <w:jc w:val="center"/>
            </w:pPr>
            <w:r>
              <w:rPr>
                <w:rFonts w:ascii="Times New Roman" w:hAnsi="Times New Roman" w:eastAsia="宋体"/>
                <w:b w:val="0"/>
                <w:sz w:val="20"/>
              </w:rPr>
              <w:t>+48.94 ± 0.69</w:t>
            </w:r>
          </w:p>
        </w:tc>
        <w:tc>
          <w:tcPr>
            <w:tcW w:type="dxa" w:w="1531"/>
            <w:vAlign w:val="center"/>
          </w:tcPr>
          <w:p>
            <w:pPr>
              <w:keepNext/>
              <w:widowControl/>
              <w:spacing w:before="0" w:after="0" w:line="271" w:lineRule="auto"/>
              <w:ind w:firstLine="0"/>
              <w:jc w:val="center"/>
            </w:pPr>
            <w:r>
              <w:rPr>
                <w:rFonts w:ascii="Times New Roman" w:hAnsi="Times New Roman" w:eastAsia="宋体"/>
                <w:b w:val="0"/>
                <w:sz w:val="20"/>
              </w:rPr>
              <w:t>0.00</w:t>
            </w:r>
          </w:p>
        </w:tc>
      </w:tr>
      <w:tr>
        <w:trPr>
          <w:cantSplit/>
        </w:trPr>
        <w:tc>
          <w:tcPr>
            <w:tcW w:type="dxa" w:w="1928"/>
            <w:vAlign w:val="center"/>
          </w:tcPr>
          <w:p>
            <w:pPr>
              <w:keepNext w:val="0"/>
              <w:widowControl/>
              <w:spacing w:before="0" w:after="0" w:line="271" w:lineRule="auto"/>
              <w:ind w:firstLine="0"/>
              <w:jc w:val="left"/>
            </w:pPr>
            <w:r>
              <w:rPr>
                <w:rFonts w:ascii="Times New Roman" w:hAnsi="Times New Roman" w:eastAsia="宋体"/>
                <w:b w:val="0"/>
                <w:sz w:val="20"/>
              </w:rPr>
              <w:t>三集群 320</w:t>
            </w:r>
          </w:p>
        </w:tc>
        <w:tc>
          <w:tcPr>
            <w:tcW w:type="dxa" w:w="1871"/>
            <w:vAlign w:val="center"/>
          </w:tcPr>
          <w:p>
            <w:pPr>
              <w:keepNext w:val="0"/>
              <w:widowControl/>
              <w:spacing w:before="0" w:after="0" w:line="271" w:lineRule="auto"/>
              <w:ind w:firstLine="0"/>
              <w:jc w:val="center"/>
            </w:pPr>
            <w:r>
              <w:rPr>
                <w:rFonts w:ascii="Times New Roman" w:hAnsi="Times New Roman" w:eastAsia="宋体"/>
                <w:b w:val="0"/>
                <w:sz w:val="20"/>
              </w:rPr>
              <w:t>−4.40 ± 1.44</w:t>
            </w:r>
          </w:p>
        </w:tc>
        <w:tc>
          <w:tcPr>
            <w:tcW w:type="dxa" w:w="1871"/>
            <w:vAlign w:val="center"/>
          </w:tcPr>
          <w:p>
            <w:pPr>
              <w:keepNext w:val="0"/>
              <w:widowControl/>
              <w:spacing w:before="0" w:after="0" w:line="271" w:lineRule="auto"/>
              <w:ind w:firstLine="0"/>
              <w:jc w:val="center"/>
            </w:pPr>
            <w:r>
              <w:rPr>
                <w:rFonts w:ascii="Times New Roman" w:hAnsi="Times New Roman" w:eastAsia="宋体"/>
                <w:b w:val="0"/>
                <w:sz w:val="20"/>
              </w:rPr>
              <w:t>−26.30 ± 0.55</w:t>
            </w:r>
          </w:p>
        </w:tc>
        <w:tc>
          <w:tcPr>
            <w:tcW w:type="dxa" w:w="1871"/>
            <w:vAlign w:val="center"/>
          </w:tcPr>
          <w:p>
            <w:pPr>
              <w:keepNext w:val="0"/>
              <w:widowControl/>
              <w:spacing w:before="0" w:after="0" w:line="271" w:lineRule="auto"/>
              <w:ind w:firstLine="0"/>
              <w:jc w:val="center"/>
            </w:pPr>
            <w:r>
              <w:rPr>
                <w:rFonts w:ascii="Times New Roman" w:hAnsi="Times New Roman" w:eastAsia="宋体"/>
                <w:b w:val="0"/>
                <w:sz w:val="20"/>
              </w:rPr>
              <w:t>+76.84 ± 1.23</w:t>
            </w:r>
          </w:p>
        </w:tc>
        <w:tc>
          <w:tcPr>
            <w:tcW w:type="dxa" w:w="1531"/>
            <w:vAlign w:val="center"/>
          </w:tcPr>
          <w:p>
            <w:pPr>
              <w:keepNext w:val="0"/>
              <w:widowControl/>
              <w:spacing w:before="0" w:after="0" w:line="271" w:lineRule="auto"/>
              <w:ind w:firstLine="0"/>
              <w:jc w:val="center"/>
            </w:pPr>
            <w:r>
              <w:rPr>
                <w:rFonts w:ascii="Times New Roman" w:hAnsi="Times New Roman" w:eastAsia="宋体"/>
                <w:b w:val="0"/>
                <w:sz w:val="20"/>
              </w:rPr>
              <w:t>0.00</w:t>
            </w:r>
          </w:p>
        </w:tc>
      </w:tr>
    </w:tbl>
    <w:p>
      <w:pPr>
        <w:jc w:val="both"/>
      </w:pPr>
      <w:r>
        <w:t>三集群中，关闭会话代价后实际使用路径数由约 8 条降为 4 条，最大单路径请求份额由 18.5% 升至 79.0%，token 加权 Decode 批量则由 9.0 增至 39.6。完整系统更分散地分配会话，TPOT 更低，但批量较小、GPU 工作更多。这些联合观测支持以会话代价避免过度集中的解释。</w:t>
      </w:r>
    </w:p>
    <w:p>
      <w:pPr>
        <w:jc w:val="both"/>
      </w:pPr>
      <w:r>
        <w:t>表 4 的吞吐相同来自共同观测时长和相同已完成工作量。该实验针对固定工作量下的响应时间与工作代价，不用于估计最大可持续服务容量，也不否定表 3 在固定到达窗口中的吞吐差异。</w:t>
      </w:r>
    </w:p>
    <w:p>
      <w:pPr>
        <w:pStyle w:val="Heading2"/>
      </w:pPr>
      <w:r>
        <w:t>6.5 空间与时间控制的作用及交互</w:t>
      </w:r>
    </w:p>
    <w:p>
      <w:pPr>
        <w:jc w:val="both"/>
      </w:pPr>
      <w:r>
        <w:t>三集群 320 的四格实验分别关闭或启用空间准入与时间分块，保持其余配置一致。表 5 的百分比统一以同时关闭两类控制为参照，完整 RCAPS 对应两类控制均启用。[资料 2]</w:t>
      </w:r>
    </w:p>
    <w:p>
      <w:pPr>
        <w:pStyle w:val="Caption"/>
        <w:jc w:val="center"/>
      </w:pPr>
      <w:r>
        <w:t>表 5 时空控制四格实验及机制观测</w:t>
      </w:r>
    </w:p>
    <w:tbl>
      <w:tblPr>
        <w:tblW w:type="auto" w:w="0"/>
        <w:jc w:val="center"/>
        <w:tblBorders>
          <w:top w:val="single" w:sz="10" w:color="555555"/>
          <w:left w:val="nil"/>
          <w:bottom w:val="single" w:sz="10" w:color="555555"/>
          <w:right w:val="nil"/>
          <w:insideH w:val="nil"/>
          <w:insideV w:val="nil"/>
        </w:tblBorders>
        <w:tblLayout w:type="fixed"/>
        <w:tblCellMar>
          <w:top w:w="75" w:type="dxa"/>
          <w:left w:w="70" w:type="dxa"/>
          <w:bottom w:w="75" w:type="dxa"/>
          <w:right w:w="70" w:type="dxa"/>
        </w:tblCellMar>
        <w:tblLook w:firstColumn="1" w:firstRow="1" w:lastColumn="0" w:lastRow="0" w:noHBand="0" w:noVBand="1" w:val="04A0"/>
      </w:tblPr>
      <w:tblGrid>
        <w:gridCol w:w="1474"/>
        <w:gridCol w:w="1701"/>
        <w:gridCol w:w="1474"/>
        <w:gridCol w:w="1474"/>
        <w:gridCol w:w="1474"/>
        <w:gridCol w:w="1474"/>
      </w:tblGrid>
      <w:tr>
        <w:trPr>
          <w:cantSplit/>
          <w:tblHeader/>
        </w:trPr>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控制条件</w:t>
            </w:r>
          </w:p>
        </w:tc>
        <w:tc>
          <w:tcPr>
            <w:tcW w:type="dxa" w:w="1701"/>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TPOT 变化（%）</w:t>
            </w:r>
          </w:p>
        </w:tc>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工作/token 变化（%）</w:t>
            </w:r>
          </w:p>
        </w:tc>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已用路径数</w:t>
            </w:r>
          </w:p>
        </w:tc>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Decode 批量</w:t>
            </w:r>
          </w:p>
        </w:tc>
        <w:tc>
          <w:tcPr>
            <w:tcW w:type="dxa" w:w="147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18"/>
              </w:rPr>
              <w:t>Decode 网络等待（s）</w:t>
            </w:r>
          </w:p>
        </w:tc>
      </w:tr>
      <w:tr>
        <w:trPr>
          <w:cantSplit/>
        </w:trPr>
        <w:tc>
          <w:tcPr>
            <w:tcW w:type="dxa" w:w="1474"/>
            <w:vAlign w:val="center"/>
          </w:tcPr>
          <w:p>
            <w:pPr>
              <w:keepNext/>
              <w:widowControl/>
              <w:spacing w:before="0" w:after="0" w:line="271" w:lineRule="auto"/>
              <w:ind w:firstLine="0"/>
              <w:jc w:val="left"/>
            </w:pPr>
            <w:r>
              <w:rPr>
                <w:rFonts w:ascii="Times New Roman" w:hAnsi="Times New Roman" w:eastAsia="宋体"/>
                <w:b w:val="0"/>
                <w:sz w:val="18"/>
              </w:rPr>
              <w:t>空间、时间均关闭</w:t>
            </w:r>
          </w:p>
        </w:tc>
        <w:tc>
          <w:tcPr>
            <w:tcW w:type="dxa" w:w="1701"/>
            <w:vAlign w:val="center"/>
          </w:tcPr>
          <w:p>
            <w:pPr>
              <w:keepNext/>
              <w:widowControl/>
              <w:spacing w:before="0" w:after="0" w:line="271" w:lineRule="auto"/>
              <w:ind w:firstLine="0"/>
              <w:jc w:val="center"/>
            </w:pPr>
            <w:r>
              <w:rPr>
                <w:rFonts w:ascii="Times New Roman" w:hAnsi="Times New Roman" w:eastAsia="宋体"/>
                <w:b w:val="0"/>
                <w:sz w:val="18"/>
              </w:rPr>
              <w:t>0.00</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0.00</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33</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6.80</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7547</w:t>
            </w:r>
          </w:p>
        </w:tc>
      </w:tr>
      <w:tr>
        <w:trPr>
          <w:cantSplit/>
        </w:trPr>
        <w:tc>
          <w:tcPr>
            <w:tcW w:type="dxa" w:w="1474"/>
            <w:vAlign w:val="center"/>
          </w:tcPr>
          <w:p>
            <w:pPr>
              <w:keepNext/>
              <w:widowControl/>
              <w:spacing w:before="0" w:after="0" w:line="271" w:lineRule="auto"/>
              <w:ind w:firstLine="0"/>
              <w:jc w:val="left"/>
            </w:pPr>
            <w:r>
              <w:rPr>
                <w:rFonts w:ascii="Times New Roman" w:hAnsi="Times New Roman" w:eastAsia="宋体"/>
                <w:b w:val="0"/>
                <w:sz w:val="18"/>
              </w:rPr>
              <w:t>仅空间准入</w:t>
            </w:r>
          </w:p>
        </w:tc>
        <w:tc>
          <w:tcPr>
            <w:tcW w:type="dxa" w:w="1701"/>
            <w:vAlign w:val="center"/>
          </w:tcPr>
          <w:p>
            <w:pPr>
              <w:keepNext/>
              <w:widowControl/>
              <w:spacing w:before="0" w:after="0" w:line="271" w:lineRule="auto"/>
              <w:ind w:firstLine="0"/>
              <w:jc w:val="center"/>
            </w:pPr>
            <w:r>
              <w:rPr>
                <w:rFonts w:ascii="Times New Roman" w:hAnsi="Times New Roman" w:eastAsia="宋体"/>
                <w:b w:val="0"/>
                <w:sz w:val="18"/>
              </w:rPr>
              <w:t>+1.81</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−29.73</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8</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9.66</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8013</w:t>
            </w:r>
          </w:p>
        </w:tc>
      </w:tr>
      <w:tr>
        <w:trPr>
          <w:cantSplit/>
        </w:trPr>
        <w:tc>
          <w:tcPr>
            <w:tcW w:type="dxa" w:w="1474"/>
            <w:vAlign w:val="center"/>
          </w:tcPr>
          <w:p>
            <w:pPr>
              <w:keepNext/>
              <w:widowControl/>
              <w:spacing w:before="0" w:after="0" w:line="271" w:lineRule="auto"/>
              <w:ind w:firstLine="0"/>
              <w:jc w:val="left"/>
            </w:pPr>
            <w:r>
              <w:rPr>
                <w:rFonts w:ascii="Times New Roman" w:hAnsi="Times New Roman" w:eastAsia="宋体"/>
                <w:b w:val="0"/>
                <w:sz w:val="18"/>
              </w:rPr>
              <w:t>仅时间分块</w:t>
            </w:r>
          </w:p>
        </w:tc>
        <w:tc>
          <w:tcPr>
            <w:tcW w:type="dxa" w:w="1701"/>
            <w:vAlign w:val="center"/>
          </w:tcPr>
          <w:p>
            <w:pPr>
              <w:keepNext/>
              <w:widowControl/>
              <w:spacing w:before="0" w:after="0" w:line="271" w:lineRule="auto"/>
              <w:ind w:firstLine="0"/>
              <w:jc w:val="center"/>
            </w:pPr>
            <w:r>
              <w:rPr>
                <w:rFonts w:ascii="Times New Roman" w:hAnsi="Times New Roman" w:eastAsia="宋体"/>
                <w:b w:val="0"/>
                <w:sz w:val="18"/>
              </w:rPr>
              <w:t>−10.74</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+0.91</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31</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6.58</w:t>
            </w:r>
          </w:p>
        </w:tc>
        <w:tc>
          <w:tcPr>
            <w:tcW w:type="dxa" w:w="1474"/>
            <w:vAlign w:val="center"/>
          </w:tcPr>
          <w:p>
            <w:pPr>
              <w:keepNext/>
              <w:widowControl/>
              <w:spacing w:before="0" w:after="0" w:line="271" w:lineRule="auto"/>
              <w:ind w:firstLine="0"/>
              <w:jc w:val="center"/>
            </w:pPr>
            <w:r>
              <w:rPr>
                <w:rFonts w:ascii="Times New Roman" w:hAnsi="Times New Roman" w:eastAsia="宋体"/>
                <w:b w:val="0"/>
                <w:sz w:val="18"/>
              </w:rPr>
              <w:t>2593</w:t>
            </w:r>
          </w:p>
        </w:tc>
      </w:tr>
      <w:tr>
        <w:trPr>
          <w:cantSplit/>
        </w:trPr>
        <w:tc>
          <w:tcPr>
            <w:tcW w:type="dxa" w:w="1474"/>
            <w:vAlign w:val="center"/>
          </w:tcPr>
          <w:p>
            <w:pPr>
              <w:keepNext w:val="0"/>
              <w:widowControl/>
              <w:spacing w:before="0" w:after="0" w:line="271" w:lineRule="auto"/>
              <w:ind w:firstLine="0"/>
              <w:jc w:val="left"/>
            </w:pPr>
            <w:r>
              <w:rPr>
                <w:rFonts w:ascii="Times New Roman" w:hAnsi="Times New Roman" w:eastAsia="宋体"/>
                <w:b w:val="0"/>
                <w:sz w:val="18"/>
              </w:rPr>
              <w:t>完整 RCAPS</w:t>
            </w:r>
          </w:p>
        </w:tc>
        <w:tc>
          <w:tcPr>
            <w:tcW w:type="dxa" w:w="1701"/>
            <w:vAlign w:val="center"/>
          </w:tcPr>
          <w:p>
            <w:pPr>
              <w:keepNext w:val="0"/>
              <w:widowControl/>
              <w:spacing w:before="0" w:after="0" w:line="271" w:lineRule="auto"/>
              <w:ind w:firstLine="0"/>
              <w:jc w:val="center"/>
            </w:pPr>
            <w:r>
              <w:rPr>
                <w:rFonts w:ascii="Times New Roman" w:hAnsi="Times New Roman" w:eastAsia="宋体"/>
                <w:b w:val="0"/>
                <w:sz w:val="18"/>
              </w:rPr>
              <w:t>−13.39</w:t>
            </w:r>
          </w:p>
        </w:tc>
        <w:tc>
          <w:tcPr>
            <w:tcW w:type="dxa" w:w="1474"/>
            <w:vAlign w:val="center"/>
          </w:tcPr>
          <w:p>
            <w:pPr>
              <w:keepNext w:val="0"/>
              <w:widowControl/>
              <w:spacing w:before="0" w:after="0" w:line="271" w:lineRule="auto"/>
              <w:ind w:firstLine="0"/>
              <w:jc w:val="center"/>
            </w:pPr>
            <w:r>
              <w:rPr>
                <w:rFonts w:ascii="Times New Roman" w:hAnsi="Times New Roman" w:eastAsia="宋体"/>
                <w:b w:val="0"/>
                <w:sz w:val="18"/>
              </w:rPr>
              <w:t>−27.36</w:t>
            </w:r>
          </w:p>
        </w:tc>
        <w:tc>
          <w:tcPr>
            <w:tcW w:type="dxa" w:w="1474"/>
            <w:vAlign w:val="center"/>
          </w:tcPr>
          <w:p>
            <w:pPr>
              <w:keepNext w:val="0"/>
              <w:widowControl/>
              <w:spacing w:before="0" w:after="0" w:line="271" w:lineRule="auto"/>
              <w:ind w:firstLine="0"/>
              <w:jc w:val="center"/>
            </w:pPr>
            <w:r>
              <w:rPr>
                <w:rFonts w:ascii="Times New Roman" w:hAnsi="Times New Roman" w:eastAsia="宋体"/>
                <w:b w:val="0"/>
                <w:sz w:val="18"/>
              </w:rPr>
              <w:t>8</w:t>
            </w:r>
          </w:p>
        </w:tc>
        <w:tc>
          <w:tcPr>
            <w:tcW w:type="dxa" w:w="1474"/>
            <w:vAlign w:val="center"/>
          </w:tcPr>
          <w:p>
            <w:pPr>
              <w:keepNext w:val="0"/>
              <w:widowControl/>
              <w:spacing w:before="0" w:after="0" w:line="271" w:lineRule="auto"/>
              <w:ind w:firstLine="0"/>
              <w:jc w:val="center"/>
            </w:pPr>
            <w:r>
              <w:rPr>
                <w:rFonts w:ascii="Times New Roman" w:hAnsi="Times New Roman" w:eastAsia="宋体"/>
                <w:b w:val="0"/>
                <w:sz w:val="18"/>
              </w:rPr>
              <w:t>9.21</w:t>
            </w:r>
          </w:p>
        </w:tc>
        <w:tc>
          <w:tcPr>
            <w:tcW w:type="dxa" w:w="1474"/>
            <w:vAlign w:val="center"/>
          </w:tcPr>
          <w:p>
            <w:pPr>
              <w:keepNext w:val="0"/>
              <w:widowControl/>
              <w:spacing w:before="0" w:after="0" w:line="271" w:lineRule="auto"/>
              <w:ind w:firstLine="0"/>
              <w:jc w:val="center"/>
            </w:pPr>
            <w:r>
              <w:rPr>
                <w:rFonts w:ascii="Times New Roman" w:hAnsi="Times New Roman" w:eastAsia="宋体"/>
                <w:b w:val="0"/>
                <w:sz w:val="18"/>
              </w:rPr>
              <w:t>2778</w:t>
            </w:r>
          </w:p>
        </w:tc>
      </w:tr>
    </w:tbl>
    <w:p>
      <w:pPr>
        <w:spacing w:line="288" w:lineRule="auto"/>
        <w:ind w:firstLine="0"/>
      </w:pPr>
      <w:r>
        <w:rPr>
          <w:rFonts w:ascii="Times New Roman" w:hAnsi="Times New Roman" w:eastAsia="宋体"/>
          <w:sz w:val="18"/>
        </w:rPr>
        <w:t>注：路径、批量及等待为三种子机制统计的近似均值；等待是对应探针记录量，不是完整端到端延迟的独立可加分量。</w:t>
      </w:r>
    </w:p>
    <w:p>
      <w:pPr>
        <w:jc w:val="both"/>
      </w:pPr>
      <w:r>
        <w:t>空间准入减少实际使用路径数，并增大 Decode 批量，其较明确的作用是降低计算工作。时间分块主要降低通信等待。完整系统在该条件下同时改善相对关闭两类控制的延迟和工作量，但四格中的收益不能简单相加，也不能据此推定所有负载下均存在正向交互。</w:t>
      </w:r>
    </w:p>
    <w:p>
      <w:pPr>
        <w:jc w:val="both"/>
      </w:pPr>
      <w:r>
        <w:t>完整系统相对仅启用时间分块，TPOT 降低 2.98%，GPU 工作/token 降低 28.01%，TTFT 增加 0.90%；相对仅启用空间准入，TPOT 降低 14.92%，GPU 工作/token 增加 3.38%。这些成对结果说明两类控制具有不同的性能作用。</w:t>
      </w:r>
    </w:p>
    <w:p>
      <w:pPr>
        <w:pStyle w:val="Heading2"/>
      </w:pPr>
      <w:r>
        <w:t>6.6 参数、环境与邻近机制对照</w:t>
      </w:r>
    </w:p>
    <w:p>
      <w:pPr>
        <w:jc w:val="both"/>
      </w:pPr>
      <w:r>
        <w:t>分块参数实验覆盖 1、2、4 和 8 MiB，以及仅慢链路与全部 GPU 间链路两个作用范围。三集群 320 中，4 MiB 相对 1 MiB 的 TPOT 高 5.40%、GPU 工作低 2.71%；相对 8 MiB 的 TPOT 低 3.57%、GPU 工作高 0.90%。这些结果体现块长的执行取舍，尚不支持把 4 MiB 解释为全指标最优配置。[资料 2]</w:t>
      </w:r>
    </w:p>
    <w:p>
      <w:pPr>
        <w:jc w:val="both"/>
      </w:pPr>
      <w:r>
        <w:t>环境变化进一步检验了原始动机。在慢链路带宽减半和 Prompt 占比提高条件下，完整系统相对无时间分块的 TPOT 分别降低 23.95% 和 13.40%。空间准入的工作量收益更稳定，但延迟改善并不一致：单请求批服务倍率由 2 改为 1 后，完整系统相对无空间准入的 TPOT 增加 1.94%，GPU 工作下降 24.35%。两个扩展资源池中，完整时空控制相对同时关闭时的 TPOT 均值变化为 −0.41% 和 +0.33%，没有形成一致延迟优势。[资料 2、3]</w:t>
      </w:r>
    </w:p>
    <w:p>
      <w:pPr>
        <w:jc w:val="both"/>
      </w:pPr>
      <w:r>
        <w:t>新增成本实验在每个中间块完成后，额外保留原链路和两端网卡资源 1、10 或 100 ms，不增加载荷字节。该成本为预登记仿真假设。1 ms 和 10 ms 条件下，相对无分块的 TPOT 分别降低 14.51% 和 13.93%。100 ms 条件有一个种子原生崩溃，两个成功种子相对无分块的 TPOT 仍分别低 8.65% 和 11.38%，但 TTFT 分别高 8.16% 和 6.31%。该点不报告三种子聚合值，也不能据此确定可靠的收益交叉阈值。[资料 4]</w:t>
      </w:r>
    </w:p>
    <w:p>
      <w:pPr>
        <w:jc w:val="both"/>
      </w:pPr>
      <w:r>
        <w:t>此外，已在共同 RCAPS 放置、空间准入和执行器下进行 Parallax-inspired 选路机制对照。在单集群 700、三集群 160 和三集群 320 的完整三种子组中，RCAPS 的 TPOT 分别低 22.65%、19.02% 和 27.86%，并伴随更多 GPU 工作。该比较限定为选路思想替换，不包含完整 Parallax 系统的放置、发现、遥测和推理引擎。[资料 3]</w:t>
      </w:r>
    </w:p>
    <w:p>
      <w:pPr>
        <w:pStyle w:val="Heading1"/>
      </w:pPr>
      <w:r>
        <w:t>7 论文组织与当前结论</w:t>
      </w:r>
    </w:p>
    <w:p>
      <w:pPr>
        <w:pStyle w:val="Heading2"/>
      </w:pPr>
      <w:r>
        <w:t>7.1 以完整设计贯穿全文</w:t>
      </w:r>
    </w:p>
    <w:p>
      <w:pPr>
        <w:jc w:val="both"/>
      </w:pPr>
      <w:r>
        <w:t>论文的核心论点可以表述为：异构流水线推理中的路径选择同时改变网络分流、Decode 批处理和持续会话负担；通过协调部署结构、会话分布与传输占用，可以在受测条件下改善服务响应，并揭示相应的计算代价与适用边界。</w:t>
      </w:r>
    </w:p>
    <w:p>
      <w:pPr>
        <w:jc w:val="both"/>
      </w:pPr>
      <w:r>
        <w:t>引言从原汇报的网络侧和计算侧动机出发，说明为何需要共同考虑部署与运行时调度。方法部分先建立层兼容表示，再依次说明分段共享与复制放置、队列与会话感知路由、时空执行整形。整体架构图按实际调用关系标明空间准入位于选路之前、传输分块位于执行器内部。</w:t>
      </w:r>
    </w:p>
    <w:p>
      <w:pPr>
        <w:jc w:val="both"/>
      </w:pPr>
      <w:r>
        <w:t>实验部分首先报告完整 RCAPS 与外部方法的比较，随后呈现完整系统内的放置、静态状态、会话代价和时空控制对照，最后通过路径、批量、等待、计算工作及参数变化解释结果。三项工作的贡献由它们共同支持的系统设计来组织，不要求每个组件在所有条件下同时改善全部指标。</w:t>
      </w:r>
    </w:p>
    <w:p>
      <w:pPr>
        <w:pStyle w:val="Heading2"/>
      </w:pPr>
      <w:r>
        <w:t>7.2 现有证据与剩余边界</w:t>
      </w:r>
    </w:p>
    <w:p>
      <w:pPr>
        <w:jc w:val="both"/>
      </w:pPr>
      <w:r>
        <w:t>已有正式实验形成 120 个成功独立窗口，保留相应失败与重跑记录。后续必要验证共尝试 75 个登记窗口，其中 63 个成功、12 个失败，无缺失。最近的核心补证为 6 个会话项消融和 9 个分块成本条件，分别成功 6 个和 8 个，总计 14 个成功、1 个失败。更早的 15 次派发失败发生在仿真进程创建之前，单独留档，不计入正式仿真结果。[资料 2–4]</w:t>
      </w:r>
    </w:p>
    <w:p>
      <w:pPr>
        <w:jc w:val="both"/>
      </w:pPr>
      <w:r>
        <w:t>当前结果已能够支撑导师汇报中的整体研究结构。外部比较说明完整设计在已完成共同条件下的竞争力；组件实验说明放置和实时路由的响应性作用，以及空间聚合和时间让出的不同机制；负结果说明这些作用随拓扑、服务画像和执行成本变化。</w:t>
      </w:r>
    </w:p>
    <w:p>
      <w:pPr>
        <w:jc w:val="both"/>
      </w:pPr>
      <w:r>
        <w:t>后续论文完善应优先处理影响主张范围的缺口。真实异构硬件上的执行与块间调度开销仍需校准；高负载外部方法尚缺完整配对覆盖；已有原生运行失败需要在稳定环境中复核。相关工作部分还需围绕部署结构、会话代价与通信让出逐项明确技术差异。现有吞吐数据反映给定窗口的输出表现，不能替代最大容量或服务等级约束下的饱和测试。</w:t>
      </w:r>
    </w:p>
    <w:p>
      <w:pPr>
        <w:pStyle w:val="Heading2"/>
      </w:pPr>
      <w:r>
        <w:t>7.3 汇报结论</w:t>
      </w:r>
    </w:p>
    <w:p>
      <w:pPr>
        <w:jc w:val="both"/>
      </w:pPr>
      <w:r>
        <w:t>RCAPS 的研究重点是异构资源上的整体执行组织。部署决定分流机会，队列与会话感知路由决定资源如何被持续使用，时空执行整形调节批处理分散和长消息占用。现有实验表明，完整设计在已完成的外部共同条件下改善响应时间，并在部分场景提高输出吞吐；内部消融进一步揭示这些收益所伴随的工作量变化。以这一联系组织论文，可以保留原导师汇报的科学问题，并使新增通信时间控制成为完整方法的自然组成部分。</w:t>
      </w:r>
    </w:p>
    <w:p>
      <w:pPr>
        <w:pStyle w:val="Heading1"/>
      </w:pPr>
      <w:r>
        <w:t>附录 A 资料来源与复核入口</w:t>
      </w:r>
    </w:p>
    <w:p>
      <w:pPr>
        <w:spacing w:line="288" w:lineRule="auto"/>
        <w:ind w:firstLine="0"/>
        <w:jc w:val="both"/>
      </w:pPr>
      <w:r>
        <w:rPr>
          <w:rFonts w:ascii="Times New Roman" w:hAnsi="Times New Roman" w:eastAsia="宋体"/>
          <w:sz w:val="19"/>
        </w:rPr>
        <w:t>[资料 1] 《2026-10-14 实验进展汇报》。用户提供的 Word 文件“202601014-异构GPU推理模型放置调度实验汇报.docx”。第 2 节历史动机数据引自该文档，未改写为最终 RCAPS 的主结果。</w:t>
      </w:r>
    </w:p>
    <w:p>
      <w:pPr>
        <w:spacing w:line="288" w:lineRule="auto"/>
        <w:ind w:firstLine="0"/>
        <w:jc w:val="both"/>
      </w:pPr>
      <w:r>
        <w:rPr>
          <w:rFonts w:ascii="Times New Roman" w:hAnsi="Times New Roman" w:eastAsia="宋体"/>
          <w:sz w:val="19"/>
        </w:rPr>
        <w:t>[资料 2] experiments/v4_paper/FINAL_RESULTS_CN.md。正式实验、外部相对结果、完整系统消融、四格机制、块长和资源池结果。原始记录与执行审计由该报告链接定位。</w:t>
      </w:r>
    </w:p>
    <w:p>
      <w:pPr>
        <w:spacing w:line="288" w:lineRule="auto"/>
        <w:ind w:firstLine="0"/>
        <w:jc w:val="both"/>
      </w:pPr>
      <w:r>
        <w:rPr>
          <w:rFonts w:ascii="Times New Roman" w:hAnsi="Times New Roman" w:eastAsia="宋体"/>
          <w:sz w:val="19"/>
        </w:rPr>
        <w:t>[资料 3] experiments/v4_validation/RESULTS_CN.md；validation_results.json。统一外部绝对指标、固定工作量尾部核验、环境变化和 Parallax-inspired 机制比较。</w:t>
      </w:r>
    </w:p>
    <w:p>
      <w:pPr>
        <w:spacing w:line="288" w:lineRule="auto"/>
        <w:ind w:firstLine="0"/>
        <w:jc w:val="both"/>
      </w:pPr>
      <w:r>
        <w:rPr>
          <w:rFonts w:ascii="Times New Roman" w:hAnsi="Times New Roman" w:eastAsia="宋体"/>
          <w:sz w:val="19"/>
        </w:rPr>
        <w:t>[资料 4] experiments/v4_core_validation/RESULTS_CN.md；results.json；individual.csv。会话代价独立消融、分块边界假设成本、失败记录及逐种子配对。</w:t>
      </w:r>
    </w:p>
    <w:p>
      <w:pPr>
        <w:spacing w:line="288" w:lineRule="auto"/>
        <w:ind w:firstLine="0"/>
        <w:jc w:val="both"/>
      </w:pPr>
      <w:r>
        <w:rPr>
          <w:rFonts w:ascii="Times New Roman" w:hAnsi="Times New Roman" w:eastAsia="宋体"/>
          <w:sz w:val="19"/>
        </w:rPr>
        <w:t>[资料 5] paper/RCAPS_THEORY_CN.md。层兼容表示、放置搜索、路径准入、实时会话选路与激活传输分块的当前方法定义。</w:t>
      </w:r>
    </w:p>
    <w:p>
      <w:pPr>
        <w:spacing w:line="288" w:lineRule="auto"/>
        <w:ind w:firstLine="0"/>
        <w:jc w:val="both"/>
      </w:pPr>
      <w:r>
        <w:rPr>
          <w:rFonts w:ascii="Times New Roman" w:hAnsi="Times New Roman" w:eastAsia="宋体"/>
          <w:sz w:val="19"/>
        </w:rPr>
        <w:t>[资料 6] paper/RCAPS_WRITING_BLUEPRINT_CN.md；paper/RCAPS_V4_EVIDENCE_STATUS_CN.md。论文组织与证据状态。</w:t>
      </w:r>
    </w:p>
    <w:p>
      <w:pPr>
        <w:pStyle w:val="Heading1"/>
      </w:pPr>
      <w:r>
        <w:t>附录 B 正式名称与实现标识</w:t>
      </w:r>
    </w:p>
    <w:p>
      <w:pPr>
        <w:pStyle w:val="Caption"/>
        <w:jc w:val="center"/>
      </w:pPr>
      <w:r>
        <w:t>表 6 正式正文与研发标识的对应关系</w:t>
      </w:r>
    </w:p>
    <w:tbl>
      <w:tblPr>
        <w:tblW w:type="auto" w:w="0"/>
        <w:jc w:val="center"/>
        <w:tblBorders>
          <w:top w:val="single" w:sz="10" w:color="555555"/>
          <w:left w:val="nil"/>
          <w:bottom w:val="single" w:sz="10" w:color="555555"/>
          <w:right w:val="nil"/>
          <w:insideH w:val="nil"/>
          <w:insideV w:val="nil"/>
        </w:tblBorders>
        <w:tblLayout w:type="fixed"/>
        <w:tblCellMar>
          <w:top w:w="75" w:type="dxa"/>
          <w:left w:w="70" w:type="dxa"/>
          <w:bottom w:w="75" w:type="dxa"/>
          <w:right w:w="70" w:type="dxa"/>
        </w:tblCellMar>
        <w:tblLook w:firstColumn="1" w:firstRow="1" w:lastColumn="0" w:lastRow="0" w:noHBand="0" w:noVBand="1" w:val="04A0"/>
      </w:tblPr>
      <w:tblGrid>
        <w:gridCol w:w="2381"/>
        <w:gridCol w:w="1984"/>
        <w:gridCol w:w="4706"/>
      </w:tblGrid>
      <w:tr>
        <w:trPr>
          <w:cantSplit/>
          <w:tblHeader/>
        </w:trPr>
        <w:tc>
          <w:tcPr>
            <w:tcW w:type="dxa" w:w="2381"/>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正式名称</w:t>
            </w:r>
          </w:p>
        </w:tc>
        <w:tc>
          <w:tcPr>
            <w:tcW w:type="dxa" w:w="1984"/>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实现或实验标识</w:t>
            </w:r>
          </w:p>
        </w:tc>
        <w:tc>
          <w:tcPr>
            <w:tcW w:type="dxa" w:w="4706"/>
            <w:tcBorders>
              <w:bottom w:val="single" w:sz="6" w:color="777777"/>
            </w:tcBorders>
            <w:shd w:fill="F1F3F5" w:val="clear"/>
            <w:vAlign w:val="center"/>
          </w:tcPr>
          <w:p>
            <w:pPr>
              <w:keepNext/>
              <w:widowControl/>
              <w:spacing w:before="0" w:after="0" w:line="271" w:lineRule="auto"/>
              <w:ind w:firstLine="0"/>
              <w:jc w:val="center"/>
            </w:pPr>
            <w:r>
              <w:rPr>
                <w:rFonts w:ascii="Times New Roman" w:hAnsi="Times New Roman" w:eastAsia="黑体"/>
                <w:b/>
                <w:sz w:val="20"/>
              </w:rPr>
              <w:t>在论文中的位置</w:t>
            </w:r>
          </w:p>
        </w:tc>
      </w:tr>
      <w:tr>
        <w:trPr>
          <w:cantSplit/>
        </w:trPr>
        <w:tc>
          <w:tcPr>
            <w:tcW w:type="dxa" w:w="2381"/>
            <w:vAlign w:val="center"/>
          </w:tcPr>
          <w:p>
            <w:pPr>
              <w:keepNext/>
              <w:widowControl/>
              <w:spacing w:before="0" w:after="0" w:line="271" w:lineRule="auto"/>
              <w:ind w:firstLine="0"/>
              <w:jc w:val="left"/>
            </w:pPr>
            <w:r>
              <w:rPr>
                <w:rFonts w:ascii="Times New Roman" w:hAnsi="Times New Roman" w:eastAsia="宋体"/>
                <w:b w:val="0"/>
                <w:sz w:val="20"/>
              </w:rPr>
              <w:t>RCAPS</w:t>
            </w:r>
          </w:p>
        </w:tc>
        <w:tc>
          <w:tcPr>
            <w:tcW w:type="dxa" w:w="1984"/>
            <w:vAlign w:val="center"/>
          </w:tcPr>
          <w:p>
            <w:pPr>
              <w:keepNext/>
              <w:widowControl/>
              <w:spacing w:before="0" w:after="0" w:line="271" w:lineRule="auto"/>
              <w:ind w:firstLine="0"/>
              <w:jc w:val="center"/>
            </w:pPr>
            <w:r>
              <w:rPr>
                <w:rFonts w:ascii="Times New Roman" w:hAnsi="Times New Roman" w:eastAsia="宋体"/>
                <w:b w:val="0"/>
                <w:sz w:val="20"/>
              </w:rPr>
              <w:t>V4 / rcaps_v4</w:t>
            </w:r>
          </w:p>
        </w:tc>
        <w:tc>
          <w:tcPr>
            <w:tcW w:type="dxa" w:w="4706"/>
            <w:vAlign w:val="center"/>
          </w:tcPr>
          <w:p>
            <w:pPr>
              <w:keepNext/>
              <w:widowControl/>
              <w:spacing w:before="0" w:after="0" w:line="271" w:lineRule="auto"/>
              <w:ind w:firstLine="0"/>
              <w:jc w:val="center"/>
            </w:pPr>
            <w:r>
              <w:rPr>
                <w:rFonts w:ascii="Times New Roman" w:hAnsi="Times New Roman" w:eastAsia="宋体"/>
                <w:b w:val="0"/>
                <w:sz w:val="20"/>
              </w:rPr>
              <w:t>完整方法及外部比较</w:t>
            </w:r>
          </w:p>
        </w:tc>
      </w:tr>
      <w:tr>
        <w:trPr>
          <w:cantSplit/>
        </w:trPr>
        <w:tc>
          <w:tcPr>
            <w:tcW w:type="dxa" w:w="2381"/>
            <w:vAlign w:val="center"/>
          </w:tcPr>
          <w:p>
            <w:pPr>
              <w:keepNext/>
              <w:widowControl/>
              <w:spacing w:before="0" w:after="0" w:line="271" w:lineRule="auto"/>
              <w:ind w:firstLine="0"/>
              <w:jc w:val="left"/>
            </w:pPr>
            <w:r>
              <w:rPr>
                <w:rFonts w:ascii="Times New Roman" w:hAnsi="Times New Roman" w:eastAsia="宋体"/>
                <w:b w:val="0"/>
                <w:sz w:val="20"/>
              </w:rPr>
              <w:t>层兼容执行图</w:t>
            </w:r>
          </w:p>
        </w:tc>
        <w:tc>
          <w:tcPr>
            <w:tcW w:type="dxa" w:w="1984"/>
            <w:vAlign w:val="center"/>
          </w:tcPr>
          <w:p>
            <w:pPr>
              <w:keepNext/>
              <w:widowControl/>
              <w:spacing w:before="0" w:after="0" w:line="271" w:lineRule="auto"/>
              <w:ind w:firstLine="0"/>
              <w:jc w:val="center"/>
            </w:pPr>
            <w:r>
              <w:rPr>
                <w:rFonts w:ascii="Times New Roman" w:hAnsi="Times New Roman" w:eastAsia="宋体"/>
                <w:b w:val="0"/>
                <w:sz w:val="20"/>
              </w:rPr>
              <w:t>M1</w:t>
            </w:r>
          </w:p>
        </w:tc>
        <w:tc>
          <w:tcPr>
            <w:tcW w:type="dxa" w:w="4706"/>
            <w:vAlign w:val="center"/>
          </w:tcPr>
          <w:p>
            <w:pPr>
              <w:keepNext/>
              <w:widowControl/>
              <w:spacing w:before="0" w:after="0" w:line="271" w:lineRule="auto"/>
              <w:ind w:firstLine="0"/>
              <w:jc w:val="center"/>
            </w:pPr>
            <w:r>
              <w:rPr>
                <w:rFonts w:ascii="Times New Roman" w:hAnsi="Times New Roman" w:eastAsia="宋体"/>
                <w:b w:val="0"/>
                <w:sz w:val="20"/>
              </w:rPr>
              <w:t>系统表示与结构正确性</w:t>
            </w:r>
          </w:p>
        </w:tc>
      </w:tr>
      <w:tr>
        <w:trPr>
          <w:cantSplit/>
        </w:trPr>
        <w:tc>
          <w:tcPr>
            <w:tcW w:type="dxa" w:w="2381"/>
            <w:vAlign w:val="center"/>
          </w:tcPr>
          <w:p>
            <w:pPr>
              <w:keepNext/>
              <w:widowControl/>
              <w:spacing w:before="0" w:after="0" w:line="271" w:lineRule="auto"/>
              <w:ind w:firstLine="0"/>
              <w:jc w:val="left"/>
            </w:pPr>
            <w:r>
              <w:rPr>
                <w:rFonts w:ascii="Times New Roman" w:hAnsi="Times New Roman" w:eastAsia="宋体"/>
                <w:b w:val="0"/>
                <w:sz w:val="20"/>
              </w:rPr>
              <w:t>分段共享与复制放置</w:t>
            </w:r>
          </w:p>
        </w:tc>
        <w:tc>
          <w:tcPr>
            <w:tcW w:type="dxa" w:w="1984"/>
            <w:vAlign w:val="center"/>
          </w:tcPr>
          <w:p>
            <w:pPr>
              <w:keepNext/>
              <w:widowControl/>
              <w:spacing w:before="0" w:after="0" w:line="271" w:lineRule="auto"/>
              <w:ind w:firstLine="0"/>
              <w:jc w:val="center"/>
            </w:pPr>
            <w:r>
              <w:rPr>
                <w:rFonts w:ascii="Times New Roman" w:hAnsi="Times New Roman" w:eastAsia="宋体"/>
                <w:b w:val="0"/>
                <w:sz w:val="20"/>
              </w:rPr>
              <w:t>M2</w:t>
            </w:r>
          </w:p>
        </w:tc>
        <w:tc>
          <w:tcPr>
            <w:tcW w:type="dxa" w:w="4706"/>
            <w:vAlign w:val="center"/>
          </w:tcPr>
          <w:p>
            <w:pPr>
              <w:keepNext/>
              <w:widowControl/>
              <w:spacing w:before="0" w:after="0" w:line="271" w:lineRule="auto"/>
              <w:ind w:firstLine="0"/>
              <w:jc w:val="center"/>
            </w:pPr>
            <w:r>
              <w:rPr>
                <w:rFonts w:ascii="Times New Roman" w:hAnsi="Times New Roman" w:eastAsia="宋体"/>
                <w:b w:val="0"/>
                <w:sz w:val="20"/>
              </w:rPr>
              <w:t>部署方法与放置对照</w:t>
            </w:r>
          </w:p>
        </w:tc>
      </w:tr>
      <w:tr>
        <w:trPr>
          <w:cantSplit/>
        </w:trPr>
        <w:tc>
          <w:tcPr>
            <w:tcW w:type="dxa" w:w="2381"/>
            <w:vAlign w:val="center"/>
          </w:tcPr>
          <w:p>
            <w:pPr>
              <w:keepNext/>
              <w:widowControl/>
              <w:spacing w:before="0" w:after="0" w:line="271" w:lineRule="auto"/>
              <w:ind w:firstLine="0"/>
              <w:jc w:val="left"/>
            </w:pPr>
            <w:r>
              <w:rPr>
                <w:rFonts w:ascii="Times New Roman" w:hAnsi="Times New Roman" w:eastAsia="宋体"/>
                <w:b w:val="0"/>
                <w:sz w:val="20"/>
              </w:rPr>
              <w:t>队列与会话感知在线路由</w:t>
            </w:r>
          </w:p>
        </w:tc>
        <w:tc>
          <w:tcPr>
            <w:tcW w:type="dxa" w:w="1984"/>
            <w:vAlign w:val="center"/>
          </w:tcPr>
          <w:p>
            <w:pPr>
              <w:keepNext/>
              <w:widowControl/>
              <w:spacing w:before="0" w:after="0" w:line="271" w:lineRule="auto"/>
              <w:ind w:firstLine="0"/>
              <w:jc w:val="center"/>
            </w:pPr>
            <w:r>
              <w:rPr>
                <w:rFonts w:ascii="Times New Roman" w:hAnsi="Times New Roman" w:eastAsia="宋体"/>
                <w:b w:val="0"/>
                <w:sz w:val="20"/>
              </w:rPr>
              <w:t>M3</w:t>
            </w:r>
          </w:p>
        </w:tc>
        <w:tc>
          <w:tcPr>
            <w:tcW w:type="dxa" w:w="4706"/>
            <w:vAlign w:val="center"/>
          </w:tcPr>
          <w:p>
            <w:pPr>
              <w:keepNext/>
              <w:widowControl/>
              <w:spacing w:before="0" w:after="0" w:line="271" w:lineRule="auto"/>
              <w:ind w:firstLine="0"/>
              <w:jc w:val="center"/>
            </w:pPr>
            <w:r>
              <w:rPr>
                <w:rFonts w:ascii="Times New Roman" w:hAnsi="Times New Roman" w:eastAsia="宋体"/>
                <w:b w:val="0"/>
                <w:sz w:val="20"/>
              </w:rPr>
              <w:t>在线路由与状态项对照</w:t>
            </w:r>
          </w:p>
        </w:tc>
      </w:tr>
      <w:tr>
        <w:trPr>
          <w:cantSplit/>
        </w:trPr>
        <w:tc>
          <w:tcPr>
            <w:tcW w:type="dxa" w:w="2381"/>
            <w:vAlign w:val="center"/>
          </w:tcPr>
          <w:p>
            <w:pPr>
              <w:keepNext/>
              <w:widowControl/>
              <w:spacing w:before="0" w:after="0" w:line="271" w:lineRule="auto"/>
              <w:ind w:firstLine="0"/>
              <w:jc w:val="left"/>
            </w:pPr>
            <w:r>
              <w:rPr>
                <w:rFonts w:ascii="Times New Roman" w:hAnsi="Times New Roman" w:eastAsia="宋体"/>
                <w:b w:val="0"/>
                <w:sz w:val="20"/>
              </w:rPr>
              <w:t>空间准入</w:t>
            </w:r>
          </w:p>
        </w:tc>
        <w:tc>
          <w:tcPr>
            <w:tcW w:type="dxa" w:w="1984"/>
            <w:vAlign w:val="center"/>
          </w:tcPr>
          <w:p>
            <w:pPr>
              <w:keepNext/>
              <w:widowControl/>
              <w:spacing w:before="0" w:after="0" w:line="271" w:lineRule="auto"/>
              <w:ind w:firstLine="0"/>
              <w:jc w:val="center"/>
            </w:pPr>
            <w:r>
              <w:rPr>
                <w:rFonts w:ascii="Times New Roman" w:hAnsi="Times New Roman" w:eastAsia="宋体"/>
                <w:b w:val="0"/>
                <w:sz w:val="20"/>
              </w:rPr>
              <w:t>S</w:t>
            </w:r>
          </w:p>
        </w:tc>
        <w:tc>
          <w:tcPr>
            <w:tcW w:type="dxa" w:w="4706"/>
            <w:vAlign w:val="center"/>
          </w:tcPr>
          <w:p>
            <w:pPr>
              <w:keepNext/>
              <w:widowControl/>
              <w:spacing w:before="0" w:after="0" w:line="271" w:lineRule="auto"/>
              <w:ind w:firstLine="0"/>
              <w:jc w:val="center"/>
            </w:pPr>
            <w:r>
              <w:rPr>
                <w:rFonts w:ascii="Times New Roman" w:hAnsi="Times New Roman" w:eastAsia="宋体"/>
                <w:b w:val="0"/>
                <w:sz w:val="20"/>
              </w:rPr>
              <w:t>时空执行整形的空间部分</w:t>
            </w:r>
          </w:p>
        </w:tc>
      </w:tr>
      <w:tr>
        <w:trPr>
          <w:cantSplit/>
        </w:trPr>
        <w:tc>
          <w:tcPr>
            <w:tcW w:type="dxa" w:w="2381"/>
            <w:vAlign w:val="center"/>
          </w:tcPr>
          <w:p>
            <w:pPr>
              <w:keepNext/>
              <w:widowControl/>
              <w:spacing w:before="0" w:after="0" w:line="271" w:lineRule="auto"/>
              <w:ind w:firstLine="0"/>
              <w:jc w:val="left"/>
            </w:pPr>
            <w:r>
              <w:rPr>
                <w:rFonts w:ascii="Times New Roman" w:hAnsi="Times New Roman" w:eastAsia="宋体"/>
                <w:b w:val="0"/>
                <w:sz w:val="20"/>
              </w:rPr>
              <w:t>激活传输分块</w:t>
            </w:r>
          </w:p>
        </w:tc>
        <w:tc>
          <w:tcPr>
            <w:tcW w:type="dxa" w:w="1984"/>
            <w:vAlign w:val="center"/>
          </w:tcPr>
          <w:p>
            <w:pPr>
              <w:keepNext/>
              <w:widowControl/>
              <w:spacing w:before="0" w:after="0" w:line="271" w:lineRule="auto"/>
              <w:ind w:firstLine="0"/>
              <w:jc w:val="center"/>
            </w:pPr>
            <w:r>
              <w:rPr>
                <w:rFonts w:ascii="Times New Roman" w:hAnsi="Times New Roman" w:eastAsia="宋体"/>
                <w:b w:val="0"/>
                <w:sz w:val="20"/>
              </w:rPr>
              <w:t>T</w:t>
            </w:r>
          </w:p>
        </w:tc>
        <w:tc>
          <w:tcPr>
            <w:tcW w:type="dxa" w:w="4706"/>
            <w:vAlign w:val="center"/>
          </w:tcPr>
          <w:p>
            <w:pPr>
              <w:keepNext/>
              <w:widowControl/>
              <w:spacing w:before="0" w:after="0" w:line="271" w:lineRule="auto"/>
              <w:ind w:firstLine="0"/>
              <w:jc w:val="center"/>
            </w:pPr>
            <w:r>
              <w:rPr>
                <w:rFonts w:ascii="Times New Roman" w:hAnsi="Times New Roman" w:eastAsia="宋体"/>
                <w:b w:val="0"/>
                <w:sz w:val="20"/>
              </w:rPr>
              <w:t>时空执行整形的时间部分</w:t>
            </w:r>
          </w:p>
        </w:tc>
      </w:tr>
      <w:tr>
        <w:trPr>
          <w:cantSplit/>
        </w:trPr>
        <w:tc>
          <w:tcPr>
            <w:tcW w:type="dxa" w:w="2381"/>
            <w:vAlign w:val="center"/>
          </w:tcPr>
          <w:p>
            <w:pPr>
              <w:keepNext w:val="0"/>
              <w:widowControl/>
              <w:spacing w:before="0" w:after="0" w:line="271" w:lineRule="auto"/>
              <w:ind w:firstLine="0"/>
              <w:jc w:val="left"/>
            </w:pPr>
            <w:r>
              <w:rPr>
                <w:rFonts w:ascii="Times New Roman" w:hAnsi="Times New Roman" w:eastAsia="宋体"/>
                <w:b w:val="0"/>
                <w:sz w:val="20"/>
              </w:rPr>
              <w:t>同时关闭时空控制的配置</w:t>
            </w:r>
          </w:p>
        </w:tc>
        <w:tc>
          <w:tcPr>
            <w:tcW w:type="dxa" w:w="1984"/>
            <w:vAlign w:val="center"/>
          </w:tcPr>
          <w:p>
            <w:pPr>
              <w:keepNext w:val="0"/>
              <w:widowControl/>
              <w:spacing w:before="0" w:after="0" w:line="271" w:lineRule="auto"/>
              <w:ind w:firstLine="0"/>
              <w:jc w:val="center"/>
            </w:pPr>
            <w:r>
              <w:rPr>
                <w:rFonts w:ascii="Times New Roman" w:hAnsi="Times New Roman" w:eastAsia="宋体"/>
                <w:b w:val="0"/>
                <w:sz w:val="20"/>
              </w:rPr>
              <w:t>对应登记的冻结 V3 条件</w:t>
            </w:r>
          </w:p>
        </w:tc>
        <w:tc>
          <w:tcPr>
            <w:tcW w:type="dxa" w:w="4706"/>
            <w:vAlign w:val="center"/>
          </w:tcPr>
          <w:p>
            <w:pPr>
              <w:keepNext w:val="0"/>
              <w:widowControl/>
              <w:spacing w:before="0" w:after="0" w:line="271" w:lineRule="auto"/>
              <w:ind w:firstLine="0"/>
              <w:jc w:val="center"/>
            </w:pPr>
            <w:r>
              <w:rPr>
                <w:rFonts w:ascii="Times New Roman" w:hAnsi="Times New Roman" w:eastAsia="宋体"/>
                <w:b w:val="0"/>
                <w:sz w:val="20"/>
              </w:rPr>
              <w:t>四格对照或复现说明</w:t>
            </w:r>
          </w:p>
        </w:tc>
      </w:tr>
    </w:tbl>
    <w:p>
      <w:pPr>
        <w:jc w:val="both"/>
      </w:pPr>
      <w:r>
        <w:t>正文以正式方法名称和实验条件组织论证，内部代号集中用于实现映射。历史版本参与四格比较时，按对应登记条件说明其配置身份。</w:t>
      </w:r>
    </w:p>
    <w:sectPr w:rsidR="00FC693F" w:rsidRPr="0006063C" w:rsidSect="00034616">
      <w:headerReference w:type="default" r:id="rId9"/>
      <w:footerReference w:type="default" r:id="rId10"/>
      <w:pgSz w:w="11906" w:h="16838"/>
      <w:pgMar w:top="1219" w:right="1417" w:bottom="1191" w:left="1417" w:header="595"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sz w:val="18"/>
      </w:rPr>
      <w:t xml:space="preserve">第 </w:t>
    </w:r>
    <w:r>
      <w:rPr>
        <w:rFonts w:ascii="Times New Roman" w:hAnsi="Times New Roman" w:eastAsia="宋体"/>
        <w:sz w:val="18"/>
      </w:rPr>
      <w:fldChar w:fldCharType="begin"/>
      <w:instrText xml:space="preserve"> PAGE </w:instrText>
      <w:fldChar w:fldCharType="separate"/>
      <w:t>1</w:t>
      <w:fldChar w:fldCharType="end"/>
    </w:r>
    <w:r>
      <w:rPr>
        <w:rFonts w:ascii="Times New Roman" w:hAnsi="Times New Roman" w:eastAsia="宋体"/>
        <w:sz w:val="18"/>
      </w:rPr>
      <w:t xml:space="preserve"> 页 / 共 </w:t>
    </w:r>
    <w:r>
      <w:rPr>
        <w:rFonts w:ascii="Times New Roman" w:hAnsi="Times New Roman" w:eastAsia="宋体"/>
        <w:sz w:val="18"/>
      </w:rPr>
      <w:fldChar w:fldCharType="begin"/>
      <w:instrText xml:space="preserve"> NUMPAGES </w:instrText>
      <w:fldChar w:fldCharType="separate"/>
      <w:t>1</w:t>
      <w:fldChar w:fldCharType="end"/>
    </w:r>
    <w:r>
      <w:rPr>
        <w:rFonts w:ascii="Times New Roman" w:hAnsi="Times New Roman"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color w:val="666666"/>
        <w:sz w:val="18"/>
      </w:rPr>
      <w:t>RCAPS　研究主线与实验进展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80"/>
      <w:ind w:firstLine="44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Times New Roman" w:hAnsi="Times New Roman" w:eastAsia="黑体"/>
      <w:b/>
      <w:bCs/>
      <w:color w:val="202020"/>
      <w:sz w:val="28"/>
      <w:szCs w:val="28"/>
    </w:rPr>
  </w:style>
  <w:style w:type="paragraph" w:styleId="Heading2">
    <w:name w:val="heading 2"/>
    <w:basedOn w:val="Normal"/>
    <w:next w:val="Normal"/>
    <w:link w:val="Heading2Char"/>
    <w:uiPriority w:val="9"/>
    <w:unhideWhenUsed/>
    <w:qFormat/>
    <w:rsid w:val="00FC693F"/>
    <w:pPr>
      <w:keepNext/>
      <w:keepLines/>
      <w:spacing w:before="180" w:after="120"/>
      <w:ind w:firstLine="0"/>
      <w:outlineLvl w:val="1"/>
    </w:pPr>
    <w:rPr>
      <w:rFonts w:asciiTheme="majorHAnsi" w:eastAsiaTheme="majorEastAsia" w:hAnsiTheme="majorHAnsi" w:cstheme="majorBidi" w:ascii="Times New Roman" w:hAnsi="Times New Roman" w:eastAsia="黑体"/>
      <w:b/>
      <w:bCs/>
      <w:color w:val="2020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88" w:lineRule="auto" w:before="140" w:after="100"/>
      <w:ind w:firstLine="0"/>
    </w:pPr>
    <w:rPr>
      <w:rFonts w:ascii="Times New Roman" w:hAnsi="Times New Roman" w:eastAsia="宋体"/>
      <w:b/>
      <w:bCs/>
      <w:i w:val="0"/>
      <w:color w:val="222222"/>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异构 GPU 推理的部署与会话调度研究</dc:title>
  <dc:subject>RCAPS 研究主线与实验进展汇报</dc:subject>
  <dc:creator/>
  <cp:keywords>RCAPS, 异构 GPU, 会话调度, 时空执行整形</cp:keywords>
  <dc:description>依据导师汇报与现有实验记录整理。</dc:description>
  <cp:lastModifiedBy/>
  <cp:revision>1</cp:revision>
  <dcterms:created xsi:type="dcterms:W3CDTF">2013-12-23T23:15:00Z</dcterms:created>
  <dcterms:modified xsi:type="dcterms:W3CDTF">2013-12-23T23:15:00Z</dcterms:modified>
  <cp:category/>
</cp:coreProperties>
</file>