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Thought Question Submission - Week 3</w:t>
      </w:r>
    </w:p>
    <w:p w:rsidR="00000000" w:rsidDel="00000000" w:rsidP="00000000" w:rsidRDefault="00000000" w:rsidRPr="00000000" w14:paraId="00000002">
      <w:pPr>
        <w:jc w:val="center"/>
        <w:rPr/>
      </w:pPr>
      <w:r w:rsidDel="00000000" w:rsidR="00000000" w:rsidRPr="00000000">
        <w:rPr>
          <w:rtl w:val="0"/>
        </w:rPr>
        <w:t xml:space="preserve">Luke Pepin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Articles:</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 </w:t>
      </w:r>
      <w:r w:rsidDel="00000000" w:rsidR="00000000" w:rsidRPr="00000000">
        <w:rPr>
          <w:rtl w:val="0"/>
        </w:rPr>
        <w:t xml:space="preserve">Richard B. Lee. "Eating Christmas in the Kalahari"</w:t>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Crystal Abidin. "Somewhere Between Here and There: Goldilocking Between Fieldwork and Academia.”</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Cecil King. "Here Come the Anthros"</w:t>
      </w:r>
      <w:r w:rsidDel="00000000" w:rsidR="00000000" w:rsidRPr="00000000">
        <w:rPr>
          <w:rtl w:val="0"/>
        </w:rPr>
        <w:t xml:space="preserve"> </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pPr>
      <w:r w:rsidDel="00000000" w:rsidR="00000000" w:rsidRPr="00000000">
        <w:rPr>
          <w:rtl w:val="0"/>
        </w:rPr>
        <w:t xml:space="preserve">In the Article “Eating Christmas in the Kalahari” It ends with the Bushmen teaching the author Richard Lee a lesson. Where in his slaughter of the Ox it is no different from any other day with “less fanfare”. </w:t>
      </w:r>
      <w:r w:rsidDel="00000000" w:rsidR="00000000" w:rsidRPr="00000000">
        <w:rPr>
          <w:b w:val="1"/>
          <w:rtl w:val="0"/>
        </w:rPr>
        <w:t xml:space="preserve">Lee writes that he “admires” the Bushmen playing out the farce. Does his admiration speak more to his surprise or the Bushmen’s general sportsmanship?</w:t>
      </w:r>
    </w:p>
    <w:p w:rsidR="00000000" w:rsidDel="00000000" w:rsidP="00000000" w:rsidRDefault="00000000" w:rsidRPr="00000000" w14:paraId="0000000A">
      <w:pPr>
        <w:ind w:left="0" w:firstLine="0"/>
        <w:jc w:val="left"/>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“Somewhere Between Here and There” details the differences between preparation and fieldwork. The balance between the 2 when interacting with other cultures is very important. The article focuses much more on the faults of preparation/academica in the field. What</w:t>
      </w:r>
      <w:r w:rsidDel="00000000" w:rsidR="00000000" w:rsidRPr="00000000">
        <w:rPr>
          <w:b w:val="1"/>
          <w:rtl w:val="0"/>
        </w:rPr>
        <w:t xml:space="preserve"> are some of the important reasons why fieldwork must be conducted and to what degree?</w:t>
      </w:r>
    </w:p>
    <w:p w:rsidR="00000000" w:rsidDel="00000000" w:rsidP="00000000" w:rsidRDefault="00000000" w:rsidRPr="00000000" w14:paraId="0000000C">
      <w:pPr>
        <w:ind w:left="0" w:firstLine="0"/>
        <w:jc w:val="left"/>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pPr>
      <w:r w:rsidDel="00000000" w:rsidR="00000000" w:rsidRPr="00000000">
        <w:rPr>
          <w:rtl w:val="0"/>
        </w:rPr>
        <w:t xml:space="preserve">Cecil King’s “Here Come the Anthros” the line “We have been redefined so many times we no longer quite know who we are.” Is particularly striking to me. That others definitions had been overlaid with their own words so many times its meanings have changed. </w:t>
      </w:r>
      <w:r w:rsidDel="00000000" w:rsidR="00000000" w:rsidRPr="00000000">
        <w:rPr>
          <w:b w:val="1"/>
          <w:rtl w:val="0"/>
        </w:rPr>
        <w:t xml:space="preserve">Is this a common fear with cultures and allowing anthropologists in?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