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Arrays and Pointer 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1620500" cy="70675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0" cy="706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Array in memory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Think about how array elements are stored in memory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Index starts from 0, the last one is 4 = (5-1)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452563" cy="131515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315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String Initialization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2706350" cy="69532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0" cy="695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Arrays as Automatic Variables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can declare arrays inside any function or block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Destroyed when exiting function or block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Variable length arrays he size of your array can depend on function arguments or other know values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Array Assignment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cannot assign a while array at once to another array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Even when the types match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Arrays and Functions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Arrays can be passed to functions with on big caveat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Calling convention in C except arrays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Arrays are always passed by reference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Functions cannot return arrays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Array argument example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12954000" cy="753172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30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7531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12515850" cy="8229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1585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Pointers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A value denoting the address of a memory cell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Variables and Memory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The memory is an array of bytes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Every byte in memory is numbered: the address!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Every variable is kept in memory and is associated with two numbers: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The address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The value stored at that address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Implicit Address Use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12592050" cy="7315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92050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Explicit Use: Points!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pointer is a variable that holds an address of something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Declaration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Int *p;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value of p is an address of an int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 itself has an address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Referencing and dereferencing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12553950" cy="75628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53950" cy="756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Picture it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12592050" cy="59626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9205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