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Ethics as practical knowledge. The goal: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good life.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means: reflection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Asking the question is part of the good life. The end and the means are inseparable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Mottos of Greek Philosophy: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“Know thyself”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“Be who you are”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