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before="100" w:after="100"/>
        <w:ind w:firstLine="500"/>
        <w:jc w:val="center"/>
      </w:pPr>
      <w:r>
        <w:rPr>
          <w:b w:val="on"/>
        </w:rPr>
      </w:r>
      <w:r>
        <w:t>30. Migration</w:t>
      </w:r>
      <w:r>
        <w:cr/>
      </w:r>
      <w:r>
        <w:t>Mapping Configuration methods to the corresponding methods in the new APIs. Configuration#addFile Configuration#addFile Configuration#add(XmlDocument) Configuration#add(XmlDocument) Configuration#addXML Configuration#addXML Configuration#addCacheableFile Configuration#addCacheableFile Configuration#addURL Configuration#addURL Configuration#addInputStream Configuration#addInputStream Configuration#addResource Configuration#addResource Configuration#addClass Configuration#addClass Configuration#addAnnotatedClass Configuration#addAnnotatedClass Configuration#addPackage Configuration#addPackage Configuration#addJar Configuration#addJar Configuration#addDirectory Configuration#addDirectory Configuration#registerTypeContributor Configuration#registerTypeContributor Configuration#registerTypeOverride Configuration#registerTypeOverride Configuration#setProperty Configuration#setProperty Configuration#setProperties Configuration#setProperties Configuration#addProperties Configuration#addProperties Configuration#setNamingStrategy Configuration#setNamingStrategy Configuration#setImplicitNamingStrategy Configuration#setImplicitNamingStrategy Configuration#setPhysicalNamingStrategy Configuration#setPhysicalNamingStrategy Configuration#configure Configuration#configure Configuration#setInterceptor Configuration#setInterceptor Configuration#setEntityNotFoundDelegate Configuration#setEntityNotFoundDelegate Configuration#setSessionFactoryObserver Configuration#setSessionFactoryObserver Configuration#setCurrentTenantIdentifierResolver Configuration#setCurrentTenantIdentifierResolver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2023-04-16T16:44:33Z</dcterms:created>
  <dc:creator>Apache POI</dc:creator>
</cp:coreProperties>
</file>