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4</w:t>
      </w:r>
    </w:p>
    <w:p>
      <w:pPr>
        <w:pStyle w:val="Normal"/>
      </w:pPr>
      <w:r>
        <w:t xml:space="preserve">显著基因数（IVW p &lt; 0.05）： 0</w:t>
      </w:r>
    </w:p>
    <w:p>
      <w:pPr>
        <w:pStyle w:val="Normal"/>
      </w:pPr>
      <w:r>
        <w:t xml:space="preserve">因果方向正确基因数（Steiger）： 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ADK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0.984-1.048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0.3394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0.913-1.051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0.5600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0.943-1.089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0.7151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-0.0002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0.0982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0.825-1.212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53e75a541c85afd56cba70d78d4855976891137a.png"/>
<Relationship Id="rId8" Type="http://schemas.openxmlformats.org/officeDocument/2006/relationships/image" Target="media/c21827b9a02e41cf382323a60eadf95c10c06c40.png"/>
<Relationship Id="rId9" Type="http://schemas.openxmlformats.org/officeDocument/2006/relationships/image" Target="media/ce2590f91e39c138296604c1b2d7ffde08f41258.png"/>
<Relationship Id="rId10" Type="http://schemas.openxmlformats.org/officeDocument/2006/relationships/image" Target="media/ea5458e99472fca3b1665d5e5c2b449deb692a0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2026-03-12T10:33:11Z</dcterms:modified>
  <cp:category/>
</cp:coreProperties>
</file>