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但本次分析未发现显著的因果关系（IVW方法P值均≥0.05）。异质性检验结果显示：所有基因均存在显著异质性（Q p&lt;0.05）；所有基因均不存在水平多效性（p&gt;0.05）。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图1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2026-03-20T16:36:47Z</dcterms:modified>
  <cp:category/>
</cp:coreProperties>
</file>