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孟德尔随机化分析报告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 方法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1.1 GWAS数据获取</w:t>
      </w:r>
    </w:p>
    <w:p>
      <w:pPr>
        <w:pStyle w:val="Normal"/>
      </w:pPr>
      <w:r>
        <w:t xml:space="preserve">通过IEU OpenGWAS数据库（https://gwas.mrcieu.ac.uk/）获取疾病相关的GWAS数据。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1.2 eQTL的MR分析</w:t>
      </w:r>
    </w:p>
    <w:p>
      <w:pPr>
        <w:pStyle w:val="Normal"/>
      </w:pPr>
      <w:r>
        <w:t xml:space="preserve">通过双样本MR分析来探讨候选基因与疾病风险之间的因果关系，将单核苷酸多态性（SNPs）定义为工具变量（IVs）。从血液eQTL的数据获取候选基因的eQTL数据（https://www.eQTLGen.com），作为暴露因素，并通过IEU OpenGWAS数据库获得疾病的GWAS数据作为结局因素。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1.3 工具变量筛选</w:t>
      </w:r>
    </w:p>
    <w:p>
      <w:pPr>
        <w:pStyle w:val="Normal"/>
      </w:pPr>
      <w:r>
        <w:t xml:space="preserve">首先，进行工具变量的筛选。通过R包TwoSampleMR（https://mrcieu.github.io/TwoSampleMR/）读取暴露因素并确定与暴露因素独立相关的SNP，将它们作为评估暴露因素和结局之间因果关系的工具变量（IVs）。筛选指标：包括P&lt;5×10⁻⁶，寻找与暴露因素显著相关的工具变量（SNP）；使用clump=TRUE，r2=0.001，kb=10000这三个指标去掉存在连锁不平衡（LD）的工具变量（SNP）。去掉与结局显著相关的工具变量（剔除F-statistics&lt;10的SNPs），并将暴露因素-工具变量-结局进行匹配。SNP数目尽量大于3个；保留最小等位基因频率MAF&gt;1%位点；排除具有中等位基因频率的回文SNP；使用Harmonise函数协调exposure和outcome位点。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1.4 孟德尔随机化分析</w:t>
      </w:r>
    </w:p>
    <w:p>
      <w:pPr>
        <w:pStyle w:val="Normal"/>
      </w:pPr>
      <w:r>
        <w:t xml:space="preserve">为探讨候选基因与疾病风险之间的因果关系，使用TwoSampleMR软件包（https://mrcieu.github.io/TwoSampleMR/）进行MR分析（五种算法：Inverse variance weighted、MR Egger、Weighted median、Simple mode、Weighted mode），并基于IVW方法的结果来评估候选基因与疾病风险之间的关系（P&lt;0.05）。我们还采用Cochran的Q统计量来检验异质性，其中p&gt;0.05表明不存在异质性。使用MR-Egger回归和MR-PRESSO分析评估潜在的水平多效性，p&gt;0.05表明不存在水平多效性。还进行留一法检验来判断结果具有可靠性。最后，为了验证正向分析的结果不受反向因果效应的干扰，基于IVW方法，用R包TwoSampleMR进行Steiger方向性分析（correct_causal_direction=1/TRUE，steiger_test_adj&lt;0.05才能说明通过了反向的检验，如果计算出NA，则视为不通过。）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 结果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2.1 孟德尔随机化分析结果</w:t>
      </w:r>
    </w:p>
    <w:p>
      <w:pPr>
        <w:pStyle w:val="Normal"/>
      </w:pPr>
      <w:r>
        <w:t xml:space="preserve">按照方法所述，对3个候选基因进行双样本孟德尔随机化分析，以探讨候选基因与疾病风险之间的因果关系。但本次分析未发现显著的因果关系（IVW方法P值均≥0.05）。异质性检验结果显示：所有基因均存在显著异质性（Q p&lt;0.05）；所有基因均不存在水平多效性（p&gt;0.05）。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864"/>
        <w:gridCol w:w="1440"/>
        <w:gridCol w:w="1152"/>
      </w:tblGrid>
      <w:tr>
        <w:trPr>
          <w:trHeight w:val="360" w:hRule="auto"/>
          <w:tblHeader/>
        </w:trPr>
        header 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 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0.4649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</w:t>
            </w:r>
          </w:p>
        </w:tc>
      </w:tr>
      <w:tr>
        <w:trPr>
          <w:trHeight w:val="360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</w:t>
            </w:r>
          </w:p>
        </w:tc>
      </w:tr>
      <w:tr>
        <w:trPr>
          <w:trHeight w:val="360" w:hRule="auto"/>
        </w:trPr>
        body 6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</w:t>
            </w:r>
          </w:p>
        </w:tc>
      </w:tr>
      <w:tr>
        <w:trPr>
          <w:trHeight w:val="360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 9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1.03</w:t>
            </w:r>
          </w:p>
        </w:tc>
      </w:tr>
      <w:tr>
        <w:trPr>
          <w:trHeight w:val="360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  <w:tr>
        <w:trPr>
          <w:trHeight w:val="360" w:hRule="auto"/>
        </w:trPr>
        body11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1.02</w:t>
            </w:r>
          </w:p>
        </w:tc>
      </w:tr>
      <w:tr>
        <w:trPr>
          <w:trHeight w:val="360" w:hRule="auto"/>
        </w:trPr>
        body12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0.64</w:t>
            </w:r>
          </w:p>
        </w:tc>
      </w:tr>
      <w:tr>
        <w:trPr>
          <w:trHeight w:val="360" w:hRule="auto"/>
        </w:trPr>
        body13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0.95</w:t>
            </w:r>
          </w:p>
        </w:tc>
      </w:tr>
      <w:tr>
        <w:trPr>
          <w:trHeight w:val="360" w:hRule="auto"/>
        </w:trPr>
        body14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0.92</w:t>
            </w:r>
          </w:p>
        </w:tc>
      </w:tr>
      <w:tr>
        <w:trPr>
          <w:trHeight w:val="360" w:hRule="auto"/>
        </w:trPr>
        body15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0.8634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2.2 敏感性分析结果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28"/>
        <w:gridCol w:w="1728"/>
        <w:gridCol w:w="3168"/>
        <w:gridCol w:w="2016"/>
        <w:gridCol w:w="864"/>
        <w:gridCol w:w="1440"/>
        <w:gridCol w:w="1728"/>
        <w:gridCol w:w="172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Pleiotropy_pval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9.77097155974291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0.551098623424826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6.2216846224819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0.79630700858224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body3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FADS2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1.30719761441557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0.934189309791357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0.61488767471381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0.961395046860167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body5
        <w:tc>
          <w:tcPr>
            <w:vMerge w:val="restart"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ELOVL1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3.11765951239533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0.21038212557946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-0.015583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0.0889429</w:t>
            </w:r>
          </w:p>
        </w:tc>
      </w:tr>
      <w:tr>
        <w:trPr>
          <w:trHeight w:val="360" w:hRule="auto"/>
        </w:trPr>
        body6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1.43808984562868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0.23044869519105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</w:pPr>
      <w:r>
        <w:t xml:space="preserve">2.3 可视化结果</w:t>
      </w:r>
    </w:p>
    <w:p>
      <w:pPr>
        <w:pStyle w:val="Normal"/>
      </w:pPr>
      <w:r>
        <w:t xml:space="preserve">图例文件：</w:t>
      </w:r>
    </w:p>
    <w:p>
      <w:pPr>
        <w:pStyle w:val="Normal"/>
      </w:pPr>
      <w:r>
        <w:t xml:space="preserve">figures/01_scatter/{gene}.scatter.png/pdf - SNP效应散点图</w:t>
      </w:r>
    </w:p>
    <w:p>
      <w:pPr>
        <w:pStyle w:val="Normal"/>
      </w:pPr>
      <w:r>
        <w:t xml:space="preserve">figures/02_forest/{gene}.forest.png/pdf + rsID.csv - SNP森林图</w:t>
      </w:r>
    </w:p>
    <w:p>
      <w:pPr>
        <w:pStyle w:val="Normal"/>
      </w:pPr>
      <w:r>
        <w:t xml:space="preserve">figures/03_funnel/{gene}.funnel.png/pdf - 漏斗图</w:t>
      </w:r>
    </w:p>
    <w:p>
      <w:pPr>
        <w:pStyle w:val="Normal"/>
      </w:pPr>
      <w:r>
        <w:t xml:space="preserve">figures/04_leaveoneout/{gene}.leaveoneout.png/pdf - 留一法图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【PTGS2】</w:t>
      </w:r>
    </w:p>
    <w:p>
      <w:pPr>
        <w:pStyle w:val="Normal"/>
      </w:pPr>
      <w:r>
        <w:t xml:space="preserve">图1 散点图（SNP效应）（PTGS2）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图1：散点图展示了每个SNP对暴露因素和结局因素的效应关系。横坐标为SNP对暴露的效应值，纵坐标为SNP对结局的效应值。不同颜色的线表示五种MR方法的拟合结果，通过斜率判断因果效应方向和大小。</w:t>
      </w:r>
    </w:p>
    <w:p>
      <w:pPr>
        <w:pStyle w:val="Normal"/>
      </w:pPr>
      <w:r>
        <w:t xml:space="preserve">图2 森林图（因果效应）（PTGS2）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图2：森林图展示了每个SNP位点对结局的效应大小。横坐标为效应值（OR），纵坐标为SNP名称。当效应值的95%置信区间不跨越0时，表明该SNP与结局存在显著关联。红色菱形为IVW方法的整体效应估计值。</w:t>
      </w:r>
    </w:p>
    <w:p>
      <w:pPr>
        <w:pStyle w:val="Normal"/>
      </w:pPr>
      <w:r>
        <w:t xml:space="preserve">图3 漏斗图（发表偏倚）（PTGS2）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图3：漏斗图用于评估发表偏倚。纵轴为效应量的精确度（1/SE），横轴为效应值。散点越接近顶点且对称分布，表明不存在显著发表偏倚，分析结果越可靠。</w:t>
      </w:r>
    </w:p>
    <w:p>
      <w:pPr>
        <w:pStyle w:val="Normal"/>
      </w:pPr>
      <w:r>
        <w:t xml:space="preserve">图4 留一法图（敏感性）（PTGS2）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图4：留一法图用于评估结果是否依赖特定SNP。逐步剔除每个SNP后，重新计算IVW效应值。若剔除某个SNP后结果发生显著改变，说明该SNP对结果影响较大，可能存在异常值。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c590dedaecef2c5e5ee74b121d6bb1019ead680e.png"/>
<Relationship Id="rId8" Type="http://schemas.openxmlformats.org/officeDocument/2006/relationships/image" Target="media/3a8bf5e8add2a99435cf4979e513ac0a3794b5f3.png"/>
<Relationship Id="rId9" Type="http://schemas.openxmlformats.org/officeDocument/2006/relationships/image" Target="media/890642ee469a57abbf577101cd4de65900639818.png"/>
<Relationship Id="rId10" Type="http://schemas.openxmlformats.org/officeDocument/2006/relationships/image" Target="media/7af27310e4f7bb101ed0ca2920741c8a5acbab3f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2026-03-20T16:42:15Z</dcterms:modified>
  <cp:category/>
</cp:coreProperties>
</file>