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基因的IVW效应值（OR）范围为1.02至1.02。所有基因均为危险因素（OR&gt;1）。异质性检验结果显示：所有基因均存在显著异质性（Q p&lt;0.05）；所有基因均不存在水平多效性（p&gt;0.05）。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52"/>
        <w:gridCol w:w="3456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所有基因的IVW效应值（OR）范围为1.02至1.02。 所有基因均为危险因素（OR&gt;1）。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008"/>
        <w:gridCol w:w="3168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异质性检验结果显示：所有暴露因素均存在显著异质性（Q p&lt;0.05）；水平多效性检验结果显示：所有暴露因素均不存在水平多效性（p&gt;0.05）。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2026-03-20T16:59:43Z</dcterms:modified>
  <cp:category/>
</cp:coreProperties>
</file>