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均为1.02。异质性检验结果显示：所有基因均存在显著异质性（Q p&lt;0.05）；所有基因均不存在水平多效性（p&gt;0.05）。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152"/>
        <w:gridCol w:w="3456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所有暴露的IVW效应值（OR）均为1.02。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1008"/>
        <w:gridCol w:w="3168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结果显示：异质性检验结果显示：所有暴露因素均存在显著异质性（Q p&lt;0.05）；水平多效性检验结果显示：所有暴露因素均不存在水平多效性（p&gt;0.05）。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2026-03-20T17:52:22Z</dcterms:modified>
  <cp:category/>
</cp:coreProperties>
</file>