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1.017至1.025。异质性检验显示，所有基因均不存在显著异质性（Q p&gt;0.05）；水平多效性检验显示，所有基因均不存在水平多效性（p&gt;0.05）。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1.025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1.098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1.017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0.638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所有暴露的IVW效应值（OR）范围为1.017至1.025。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1152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0.4522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0.4522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结果显示：异质性检验显示，所有暴露因素均不存在显著异质性（Q p&gt;0.05）；水平多效性检验显示，所有暴露因素均不存在水平多效性（p&gt;0.05）。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2026-03-20T19:00:59Z</dcterms:modified>
  <cp:category/>
</cp:coreProperties>
</file>