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本次分析未发现显著的因果关系（IVW方法P值均≥0.05）。所有暴露的IVW效应值（OR）范围为1.014至1.036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所有暴露的IVW效应值（OR）范围为1.014至1.036。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0.4570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0.4570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0.5200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结果显示，异质性检验，所有暴露因素均不存在显著异质性（Q p&gt;0.05）；水平多效性检验，-2个暴露因素存在水平多效性，4个不存在水平多效性（p&gt;0.05）。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2026-03-22T14:48:41Z</dcterms:modified>
  <cp:category/>
</cp:coreProperties>
</file>