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true"/>
          <w:u w:val="none"/>
          <w:strike w:val="false"/>
          <w:sz w:val="32"/>
          <w:szCs w:val="32"/>
          <w:color w:val="000000"/>
        </w:rPr>
        <w:t xml:space="preserve">孟德尔随机化分析报告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1.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方法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1.1 GWAS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数据获取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（https://gwas.mrcieu.ac.uk/）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获取疾病相关的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1.2 eQTL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通过双样本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将单核苷酸多态性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（SNPs）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定义为工具变量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从血液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的数据获取候选基因的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eQTL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（https://www.eQTLGen.com），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IEU OpenGWAS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数据库获得疾病的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GWAS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数据作为结局因素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工具变量筛选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首先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进行工具变量的筛选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读取暴露因素并确定与暴露因素独立相关的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将它们作为评估暴露因素和结局之间因果关系的工具变量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（IVs）。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筛选指标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P&lt;5×10⁻⁶，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寻找与暴露因素显著相关的工具变量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clump=TRUE，r2=0.001，kb=10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这三个指标去掉存在连锁不平衡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（LD）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去掉与结局显著相关的工具变量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剔除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F-statistics&lt;10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SNPs），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并将暴露因素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-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结局进行匹配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数目尽量大于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保留最小等位基因频率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MAF&gt;1%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排除具有中等位基因频率的回文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Harmonise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函数协调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exposure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outcome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位点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1.4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软件包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（https://mrcieu.github.io/TwoSampleMR/）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五种算法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：Inverse variance weighted、MR Egger、Weighted median、Simple mode、Weighted mode），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并基于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方法的结果来评估候选基因与疾病风险之间的关系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我们还采用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Cochran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Q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统计量来检验异质性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其中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使用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MR-Egger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回归和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MR-PRESSO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分析评估潜在的水平多效性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，p&gt;0.05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还进行留一法检验来判断结果具有可靠性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为了验证正向分析的结果不受反向因果效应的干扰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基于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TwoSampleMR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进行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Steiger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方向性分析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（correct_causal_direction=1/TRUE，steiger_test_adj&lt;0.05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才能说明通过了反向的检验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如果计算出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NA，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则视为不通过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。）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8"/>
          <w:szCs w:val="28"/>
          <w:color w:val="000000"/>
        </w:rPr>
        <w:t xml:space="preserve">2.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8"/>
          <w:szCs w:val="28"/>
          <w:color w:val="000000"/>
        </w:rPr>
        <w:t xml:space="preserve">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2.1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孟德尔随机化分析结果</w:t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按照方法所述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个候选基因进行双样本孟德尔随机化分析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以探讨候选基因与疾病风险之间的因果关系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本次分析未发现显著的因果关系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值均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≥0.05）。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0.965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经过异质性检验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、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水平多效性检验和方向性分析后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共有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个基因通过三重筛选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包括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PTGS2），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作为因果靶点进行后续分析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不同暴露因素的孟德尔随机化分析结果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720"/>
        <w:gridCol w:w="1152"/>
        <w:gridCol w:w="1008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SNP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OR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1.072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none" w:sz="0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1.095</w:t>
            </w:r>
          </w:p>
        </w:tc>
      </w:tr>
      <w:tr>
        <w:trPr>
          <w:trHeight w:val="360" w:hRule="auto"/>
        </w:trPr>
        body3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median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1.093</w:t>
            </w:r>
          </w:p>
        </w:tc>
      </w:tr>
      <w:tr>
        <w:trPr>
          <w:trHeight w:val="360" w:hRule="auto"/>
        </w:trPr>
        body4
        <w:tc>
          <w:tcPr>
            <w:vMerge/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Weighted mode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1.094</w:t>
            </w:r>
          </w:p>
        </w:tc>
      </w:tr>
      <w:tr>
        <w:trPr>
          <w:trHeight w:val="360" w:hRule="auto"/>
        </w:trPr>
        body5
        <w:tc>
          <w:tcPr>
            <w:vMerge/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Simple mode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59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0.0004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1.105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个候选基因中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方法分析显示存在显著因果关联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（p&lt;0.05）。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范围为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0.965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至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1.072。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2.2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敏感性分析结果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暴露与疾病之间的敏感性分析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40"/>
        <w:gridCol w:w="1008"/>
        <w:gridCol w:w="2160"/>
        <w:gridCol w:w="1152"/>
        <w:gridCol w:w="720"/>
        <w:gridCol w:w="1152"/>
        <w:gridCol w:w="1152"/>
        <w:gridCol w:w="1152"/>
      </w:tblGrid>
      <w:tr>
        <w:trPr>
          <w:trHeight w:val="360" w:hRule="auto"/>
          <w:tblHeader/>
        </w:trPr>
        header1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Exposure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Outcome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Method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Heterogeneity_Q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Q_df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Q_P_value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Egger_intercept_pval</w:t>
            </w:r>
          </w:p>
        </w:tc>
        <w:tc>
          <w:tcPr>
            <w:tcBorders>
              <w:bottom w:val="single" w:sz="4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MR_PRESSO_global_p</w:t>
            </w:r>
          </w:p>
        </w:tc>
      </w:tr>
      <w:tr>
        <w:trPr>
          <w:trHeight w:val="360" w:hRule="auto"/>
        </w:trPr>
        body1
        <w:tc>
          <w:tcPr>
            <w:vMerge w:val="restart"/>
            <w:tcBorders>
              <w:bottom w:val="single" w:sz="12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PTGS2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Inverse variance weighted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62.2121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57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0.2960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none" w:sz="0" w:space="0" w:color="000000"/>
              <w:top w:val="single" w:sz="4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0.3240</w:t>
            </w:r>
          </w:p>
        </w:tc>
      </w:tr>
      <w:tr>
        <w:trPr>
          <w:trHeight w:val="360" w:hRule="auto"/>
        </w:trPr>
        body2
        <w:tc>
          <w:tcPr>
            <w:vMerge/>
            <w:tcBorders>
              <w:bottom w:val="single" w:sz="12" w:space="0" w:color="000000"/>
              <w:top w:val="single" w:sz="12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Disease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MR Egger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60.1477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56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0.3280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0.171130</w:t>
            </w:r>
          </w:p>
        </w:tc>
        <w:tc>
          <w:tcPr>
            <w:tcBorders>
              <w:bottom w:val="single" w:sz="12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0.3240</w:t>
            </w:r>
          </w:p>
        </w:tc>
      </w:tr>
    </w:tbl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　　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 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结果显示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所有暴露因素均不存在显著异质性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（Q p&gt;0.05）；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水平多效性检验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所有暴露因素均不存在水平多效性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（p&gt;0.05）。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Times New Roman" w:hAnsi="Times New Roman" w:eastAsia="Times New Roman" w:cs="Times New Roman"/>
          <w:i w:val="false"/>
          <w:b w:val="true"/>
          <w:u w:val="none"/>
          <w:strike w:val="false"/>
          <w:sz w:val="24"/>
          <w:szCs w:val="24"/>
          <w:color w:val="000000"/>
        </w:rPr>
        <w:t xml:space="preserve">2.3 </w:t>
      </w:r>
      <w:r>
        <w:rPr>
          <w:rFonts w:ascii="SimSun" w:hAnsi="SimSun" w:eastAsia="SimSun" w:cs="SimSun"/>
          <w:i w:val="false"/>
          <w:b w:val="true"/>
          <w:u w:val="none"/>
          <w:strike w:val="false"/>
          <w:sz w:val="24"/>
          <w:szCs w:val="24"/>
          <w:color w:val="000000"/>
        </w:rPr>
        <w:t xml:space="preserve">可视化结果</w:t>
      </w: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/>
          <w:strike w:val="false"/>
        </w:rPr>
        <w:t xml:space="preserve"/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1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1：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散点图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：x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，y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轴代表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对结局的影响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每一个点代表了一个工具变量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每个点上的线实际反映的是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对暴露因素的效应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纵坐标是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对结局因素的效应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两个效应之比即暴露对结局的效应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即图中彩色线的斜率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不同颜色的线表示不同的算法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不同算法的线总体斜向下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则表示随着基因水平的升高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疾病的发病风险降低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3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2：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森林图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每一条水平实线反映的是单个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对结局的效应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横坐标为效应值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（OR），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纵坐标为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名称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当效应值的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置信区间不跨越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表明该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与结局存在显著关联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看最下面的红线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算法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左边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说明基因水平增加能降低疾病的发病风险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；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红线完全在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0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右边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说明基因水平增加能增加疾病的发病风险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5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3：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漏斗图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可以观察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的异质性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主要关注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线的左右两边的点是否大致对称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如果有特别离群的点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说明存在离群值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分析结果的可靠性需要谨慎解读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p>
      <w:pPr>
        <w:pStyle w:val="Normal"/>
      </w:pPr>
      <w:r>
        <w:rPr/>
        <w:drawing>
          <wp:inline distT="0" distB="0" distL="0" distR="0">
            <wp:extent cx="4572000" cy="3657600"/>
            <wp:docPr id="7" name="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4：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逐个剔除检验图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敏感性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</w:t>
      </w:r>
    </w:p>
    <w:p>
      <w:pPr>
        <w:pStyle w:val="Normal"/>
        <w:jc w:val="center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：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孟德尔随机化逐个剔除检验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逐步剔除每个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重新计算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（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图中每一条水平线代表剔除对应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效应值和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95%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置信区间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最右端的菱形代表纳入全部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时的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IVW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合并效应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）。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若剔除某个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后结果发生显著改变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说明该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SNP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对结果影响较大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，</w:t>
      </w:r>
      <w:r>
        <w:rPr>
          <w:rFonts w:ascii="SimSun" w:hAnsi="SimSun" w:eastAsia="SimSun" w:cs="SimSu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可能存在异常值</w:t>
      </w:r>
      <w:r>
        <w:rPr>
          <w:rFonts w:ascii="Times New Roman" w:hAnsi="Times New Roman" w:eastAsia="Times New Roman" w:cs="Times New Roman"/>
          <w:i w:val="false"/>
          <w:b w:val="false"/>
          <w:u w:val="none"/>
          <w:strike w:val="false"/>
          <w:sz w:val="21"/>
          <w:szCs w:val="21"/>
          <w:color w:val="000000"/>
        </w:rPr>
        <w:t xml:space="preserve">。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Relationship Id="rId7" Type="http://schemas.openxmlformats.org/officeDocument/2006/relationships/image" Target="media/f8ea33e081ef66337936774589348b268d6fd7a9.png"/>
<Relationship Id="rId8" Type="http://schemas.openxmlformats.org/officeDocument/2006/relationships/image" Target="media/e90ebfa69f553f61d14a6684aa143e7b2677986a.png"/>
<Relationship Id="rId9" Type="http://schemas.openxmlformats.org/officeDocument/2006/relationships/image" Target="media/292c07e828d1b52f5a7bd56537ef2c40243a6983.png"/>
<Relationship Id="rId10" Type="http://schemas.openxmlformats.org/officeDocument/2006/relationships/image" Target="media/492c425b4dd85fd02111472c3982b306d00bd5ac.png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iyunlpf</cp:lastModifiedBy>
  <cp:revision>9</cp:revision>
  <dcterms:created xsi:type="dcterms:W3CDTF">2017-02-28T11:18:00Z</dcterms:created>
  <dcterms:modified xsi:type="dcterms:W3CDTF">2026-03-23T12:26:52Z</dcterms:modified>
  <cp:category/>
</cp:coreProperties>
</file>