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eQTL + pQTL </w:t>
      </w:r>
      <w:r>
        <w:rPr>
          <w:rFonts w:ascii="SimSun" w:hAnsi="SimSun" w:eastAsia="SimSun" w:cs="SimSun"/>
          <w:i w:val="false"/>
          <w:b w:val="true"/>
          <w:u w:val="none"/>
          <w:strike w:val="false"/>
          <w:sz w:val="32"/>
          <w:szCs w:val="32"/>
          <w:color w:val="000000"/>
        </w:rPr>
        <w:t xml:space="preserve">孟德尔随机化联合分析报告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w:t>
      </w:r>
      <w:r>
        <w:rPr>
          <w:rFonts w:ascii="SimSun" w:hAnsi="SimSun" w:eastAsia="SimSun" w:cs="SimSun"/>
          <w:i w:val="false"/>
          <w:b w:val="true"/>
          <w:u w:val="none"/>
          <w:strike w:val="false"/>
          <w:sz w:val="24"/>
          <w:szCs w:val="24"/>
          <w:color w:val="000000"/>
        </w:rPr>
        <w:t xml:space="preserve">孟德尔随机化分析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孟德尔随机化</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是一种利用遗传变异作为工具变量来推断暴露与结局之间因果关系的方法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本分析同时进行</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表达数量性状位点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和</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蛋白数量性状位点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两种</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以识别与疾病相关的基因和蛋白</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统计方法</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 </w:t>
      </w:r>
      <w:r>
        <w:rPr>
          <w:rFonts w:ascii="SimSun" w:hAnsi="SimSun" w:eastAsia="SimSun" w:cs="SimSun"/>
          <w:i w:val="false"/>
          <w:b w:val="false"/>
          <w:u w:val="none"/>
          <w:strike w:val="false"/>
          <w:sz w:val="21"/>
          <w:szCs w:val="21"/>
          <w:color w:val="000000"/>
        </w:rPr>
        <w:t xml:space="preserve">逆方差加权法</w:t>
      </w:r>
      <w:r>
        <w:rPr>
          <w:rFonts w:ascii="Times New Roman" w:hAnsi="Times New Roman" w:eastAsia="Times New Roman" w:cs="Times New Roman"/>
          <w:i w:val="false"/>
          <w:b w:val="false"/>
          <w:u w:val="none"/>
          <w:strike w:val="false"/>
          <w:sz w:val="21"/>
          <w:szCs w:val="21"/>
          <w:color w:val="000000"/>
        </w:rPr>
        <w:t xml:space="preserve">（IVW）- </w:t>
      </w:r>
      <w:r>
        <w:rPr>
          <w:rFonts w:ascii="SimSun" w:hAnsi="SimSun" w:eastAsia="SimSun" w:cs="SimSun"/>
          <w:i w:val="false"/>
          <w:b w:val="false"/>
          <w:u w:val="none"/>
          <w:strike w:val="false"/>
          <w:sz w:val="21"/>
          <w:szCs w:val="21"/>
          <w:color w:val="000000"/>
        </w:rPr>
        <w:t xml:space="preserve">主要</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
2) MR-Egger - </w:t>
      </w:r>
      <w:r>
        <w:rPr>
          <w:rFonts w:ascii="SimSun" w:hAnsi="SimSun" w:eastAsia="SimSun" w:cs="SimSun"/>
          <w:i w:val="false"/>
          <w:b w:val="false"/>
          <w:u w:val="none"/>
          <w:strike w:val="false"/>
          <w:sz w:val="21"/>
          <w:szCs w:val="21"/>
          <w:color w:val="000000"/>
        </w:rPr>
        <w:t xml:space="preserve">对水平多效性具有稳健性</w:t>
      </w:r>
      <w:r>
        <w:rPr>
          <w:rFonts w:ascii="Times New Roman" w:hAnsi="Times New Roman" w:eastAsia="Times New Roman" w:cs="Times New Roman"/>
          <w:i w:val="false"/>
          <w:b w:val="false"/>
          <w:u w:val="none"/>
          <w:strike w:val="false"/>
          <w:sz w:val="21"/>
          <w:szCs w:val="21"/>
          <w:color w:val="000000"/>
        </w:rPr>
        <w:t xml:space="preserve">
3) </w:t>
      </w:r>
      <w:r>
        <w:rPr>
          <w:rFonts w:ascii="SimSun" w:hAnsi="SimSun" w:eastAsia="SimSun" w:cs="SimSun"/>
          <w:i w:val="false"/>
          <w:b w:val="false"/>
          <w:u w:val="none"/>
          <w:strike w:val="false"/>
          <w:sz w:val="21"/>
          <w:szCs w:val="21"/>
          <w:color w:val="000000"/>
        </w:rPr>
        <w:t xml:space="preserve">加权中位数法</w:t>
      </w:r>
      <w:r>
        <w:rPr>
          <w:rFonts w:ascii="Times New Roman" w:hAnsi="Times New Roman" w:eastAsia="Times New Roman" w:cs="Times New Roman"/>
          <w:i w:val="false"/>
          <w:b w:val="false"/>
          <w:u w:val="none"/>
          <w:strike w:val="false"/>
          <w:sz w:val="21"/>
          <w:szCs w:val="21"/>
          <w:color w:val="000000"/>
        </w:rPr>
        <w:t xml:space="preserve"> - </w:t>
      </w:r>
      <w:r>
        <w:rPr>
          <w:rFonts w:ascii="SimSun" w:hAnsi="SimSun" w:eastAsia="SimSun" w:cs="SimSun"/>
          <w:i w:val="false"/>
          <w:b w:val="false"/>
          <w:u w:val="none"/>
          <w:strike w:val="false"/>
          <w:sz w:val="21"/>
          <w:szCs w:val="21"/>
          <w:color w:val="000000"/>
        </w:rPr>
        <w:t xml:space="preserve">对无效工具变量具有稳健性</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显著性判定以</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w:t>
      </w:r>
      <w:r>
        <w:rPr>
          <w:rFonts w:ascii="Times New Roman" w:hAnsi="Times New Roman" w:eastAsia="Times New Roman" w:cs="Times New Roman"/>
          <w:i w:val="false"/>
          <w:b w:val="false"/>
          <w:u w:val="none"/>
          <w:strike w:val="false"/>
          <w:sz w:val="21"/>
          <w:szCs w:val="21"/>
          <w:color w:val="000000"/>
        </w:rPr>
        <w:t xml:space="preserve">&lt;0.05</w:t>
      </w:r>
      <w:r>
        <w:rPr>
          <w:rFonts w:ascii="SimSun" w:hAnsi="SimSun" w:eastAsia="SimSun" w:cs="SimSun"/>
          <w:i w:val="false"/>
          <w:b w:val="false"/>
          <w:u w:val="none"/>
          <w:strike w:val="false"/>
          <w:sz w:val="21"/>
          <w:szCs w:val="21"/>
          <w:color w:val="000000"/>
        </w:rPr>
        <w:t xml:space="preserve">为阈值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报告同时汇总</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与</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结果并进行共有基因交集展示</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eQTL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结果可用</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pQTL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客观统计</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分析蛋白总数为</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其中显著蛋白数</w:t>
      </w:r>
      <w:r>
        <w:rPr>
          <w:rFonts w:ascii="Times New Roman" w:hAnsi="Times New Roman" w:eastAsia="Times New Roman" w:cs="Times New Roman"/>
          <w:i w:val="false"/>
          <w:b w:val="false"/>
          <w:u w:val="none"/>
          <w:strike w:val="false"/>
          <w:sz w:val="21"/>
          <w:szCs w:val="21"/>
          <w:color w:val="000000"/>
        </w:rPr>
        <w:t xml:space="preserve">（IVW p &lt; 0.05）</w:t>
      </w:r>
      <w:r>
        <w:rPr>
          <w:rFonts w:ascii="SimSun" w:hAnsi="SimSun" w:eastAsia="SimSun" w:cs="SimSun"/>
          <w:i w:val="false"/>
          <w:b w:val="false"/>
          <w:u w:val="none"/>
          <w:strike w:val="false"/>
          <w:sz w:val="21"/>
          <w:szCs w:val="21"/>
          <w:color w:val="000000"/>
        </w:rPr>
        <w:t xml:space="preserve">为</w:t>
      </w:r>
      <w:r>
        <w:rPr>
          <w:rFonts w:ascii="Times New Roman" w:hAnsi="Times New Roman" w:eastAsia="Times New Roman" w:cs="Times New Roman"/>
          <w:i w:val="false"/>
          <w:b w:val="false"/>
          <w:u w:val="none"/>
          <w:strike w:val="false"/>
          <w:sz w:val="21"/>
          <w:szCs w:val="21"/>
          <w:color w:val="000000"/>
        </w:rPr>
        <w:t xml:space="preserve">0。</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统计口径采用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方法结果并以</w:t>
      </w:r>
      <w:r>
        <w:rPr>
          <w:rFonts w:ascii="Times New Roman" w:hAnsi="Times New Roman" w:eastAsia="Times New Roman" w:cs="Times New Roman"/>
          <w:i w:val="false"/>
          <w:b w:val="false"/>
          <w:u w:val="none"/>
          <w:strike w:val="false"/>
          <w:sz w:val="21"/>
          <w:szCs w:val="21"/>
          <w:color w:val="000000"/>
        </w:rPr>
        <w:t xml:space="preserve">P&lt;0.05</w:t>
      </w:r>
      <w:r>
        <w:rPr>
          <w:rFonts w:ascii="SimSun" w:hAnsi="SimSun" w:eastAsia="SimSun" w:cs="SimSun"/>
          <w:i w:val="false"/>
          <w:b w:val="false"/>
          <w:u w:val="none"/>
          <w:strike w:val="false"/>
          <w:sz w:val="21"/>
          <w:szCs w:val="21"/>
          <w:color w:val="000000"/>
        </w:rPr>
        <w:t xml:space="preserve">定义显著性</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相关结果表</w:t>
      </w:r>
      <w:r>
        <w:rPr>
          <w:rFonts w:ascii="Times New Roman" w:hAnsi="Times New Roman" w:eastAsia="Times New Roman" w:cs="Times New Roman"/>
          <w:i w:val="false"/>
          <w:b w:val="false"/>
          <w:u w:val="none"/>
          <w:strike w:val="false"/>
          <w:sz w:val="21"/>
          <w:szCs w:val="21"/>
          <w:color w:val="000000"/>
        </w:rPr>
        <w:t xml:space="preserve">：`integrated_mr_results_summary.csv`。</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eQTL</w:t>
      </w:r>
      <w:r>
        <w:rPr>
          <w:rFonts w:ascii="SimSun" w:hAnsi="SimSun" w:eastAsia="SimSun" w:cs="SimSun"/>
          <w:i w:val="false"/>
          <w:b w:val="true"/>
          <w:u w:val="none"/>
          <w:strike w:val="false"/>
          <w:sz w:val="24"/>
          <w:szCs w:val="24"/>
          <w:color w:val="000000"/>
        </w:rPr>
        <w:t xml:space="preserve">与</w:t>
      </w:r>
      <w:r>
        <w:rPr>
          <w:rFonts w:ascii="Times New Roman" w:hAnsi="Times New Roman" w:eastAsia="Times New Roman" w:cs="Times New Roman"/>
          <w:i w:val="false"/>
          <w:b w:val="true"/>
          <w:u w:val="none"/>
          <w:strike w:val="false"/>
          <w:sz w:val="24"/>
          <w:szCs w:val="24"/>
          <w:color w:val="000000"/>
        </w:rPr>
        <w:t xml:space="preserve">pQTL</w:t>
      </w:r>
      <w:r>
        <w:rPr>
          <w:rFonts w:ascii="SimSun" w:hAnsi="SimSun" w:eastAsia="SimSun" w:cs="SimSun"/>
          <w:i w:val="false"/>
          <w:b w:val="true"/>
          <w:u w:val="none"/>
          <w:strike w:val="false"/>
          <w:sz w:val="24"/>
          <w:szCs w:val="24"/>
          <w:color w:val="000000"/>
        </w:rPr>
        <w:t xml:space="preserve">共有基因</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无共有显著基因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2.4 </w:t>
      </w:r>
      <w:r>
        <w:rPr>
          <w:rFonts w:ascii="SimSun" w:hAnsi="SimSun" w:eastAsia="SimSun" w:cs="SimSun"/>
          <w:i w:val="false"/>
          <w:b w:val="true"/>
          <w:u w:val="none"/>
          <w:strike w:val="false"/>
          <w:sz w:val="24"/>
          <w:szCs w:val="24"/>
          <w:color w:val="000000"/>
        </w:rPr>
        <w:t xml:space="preserve">可视化</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2026-03-23T12:27:40Z</dcterms:modified>
  <cp:category/>
</cp:coreProperties>
</file>