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pQTL的MR分析</w:t>
      </w:r>
    </w:p>
    <w:p>
      <w:pPr>
        <w:pStyle w:val="Normal"/>
      </w:pPr>
      <w:r>
        <w:t xml:space="preserve">从血浆蛋白pQTL的数据（https://www.pqtlgen.org/）中获取候选基因的pQTL数据作为暴露因素，通过IEU OpenGWAS数据库获得疾病的GWAS数据作为结局因素。工具变量筛选步骤同eQTL分析。最终整理两部分的MR结果取并集作为因果基因进行后续分析。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筛选条件：包括P&lt;5×10⁻⁶，寻找与暴露因素显著相关的工具变量（SNP）；使用clump=TRUE，r2=0.001，kb=10000去掉存在连锁不平衡（LD）的工具变量。去掉与结局显著相关的工具变量（剔除F-statistics&lt;10的SNPs）。SNP数目尽量大于3个；保留最小等位基因频率MAF&gt;1%位点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采用Cochran的Q统计量来检验异质性，p&gt;0.05表明不存在异质性。使用MR-Egger回归和MR-PRESSO软件包（https://github.com/rondolab/MR-PRESSO）分析评估潜在的水平多效性，p&gt;0.05表明不存在水平多效性。还进行留一法检验来判断结果的可靠性。最后进行Steiger方向性分析验证因果方向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按照方法所述，对1个候选基因进行双样本孟德尔随机化分析，以探讨候选基因与疾病风险之间的因果关系。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01.MR_Results_All_Genes.csv - 所有基因MR分析结果</w:t>
      </w:r>
    </w:p>
    <w:p>
      <w:pPr>
        <w:pStyle w:val="Normal"/>
      </w:pPr>
      <w:r>
        <w:t xml:space="preserve">02.Heterogeneity_All_Genes.csv - 异质性检验结果</w:t>
      </w:r>
    </w:p>
    <w:p>
      <w:pPr>
        <w:pStyle w:val="Normal"/>
      </w:pPr>
      <w:r>
        <w:t xml:space="preserve">03.Pleiotropy_All_Genes.csv - 水平多效性检验结果</w:t>
      </w:r>
    </w:p>
    <w:p>
      <w:pPr>
        <w:pStyle w:val="Normal"/>
      </w:pPr>
      <w:r>
        <w:t xml:space="preserve">04.MR_PRESSO_Results.csv - MR-PRESSO分析结果</w:t>
      </w:r>
    </w:p>
    <w:p>
      <w:pPr>
        <w:pStyle w:val="Normal"/>
      </w:pPr>
      <w:r>
        <w:t xml:space="preserve">05.Steiger_Direction_Results.csv - Steiger方向性分析结果</w:t>
      </w:r>
    </w:p>
    <w:p>
      <w:pPr>
        <w:pStyle w:val="Normal"/>
      </w:pPr>
      <w:r>
        <w:t xml:space="preserve">06.Three_Filter_Results.csv - 三重筛选结果</w:t>
      </w:r>
    </w:p>
    <w:p>
      <w:pPr>
        <w:pStyle w:val="Normal"/>
      </w:pPr>
      <w:r>
        <w:t xml:space="preserve">07.MR_res_gene.csv - 因果靶点筛选结果</w:t>
      </w:r>
    </w:p>
    <w:p>
      <w:pPr>
        <w:pStyle w:val="Normal"/>
      </w:pPr>
      <w:r>
        <w:t xml:space="preserve">tables/{gene}_harmonised.csv - 各基因Harmonise后的SNP数据</w:t>
      </w:r>
    </w:p>
    <w:p>
      <w:pPr>
        <w:pStyle w:val="Normal"/>
      </w:pPr>
      <w:r>
        <w:t xml:space="preserve">integrated_mr_results_summary.csv - MR分析完整汇总结果</w:t>
      </w:r>
    </w:p>
    <w:p>
      <w:pPr>
        <w:pStyle w:val="Normal"/>
      </w:pPr>
      <w:r>
        <w:t xml:space="preserve">significant_mr_results_summary.csv - 显著MR结果汇总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11.7745384519075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0.3004292124513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9.4742320018512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0.394697937164146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0.022556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0.173468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【A1BG】</w:t>
      </w:r>
    </w:p>
    <w:p>
      <w:pPr>
        <w:pStyle w:val="Normal"/>
      </w:pPr>
      <w:r>
        <w:t xml:space="preserve">图A 散点图（SNP效应）（A1BG）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2569bf9dfd5600223d909d305de08258219a2924.png"/>
<Relationship Id="rId8" Type="http://schemas.openxmlformats.org/officeDocument/2006/relationships/image" Target="media/0fe60d67cabf8a6d5fea51c52fe9d99bb7497522.png"/>
<Relationship Id="rId9" Type="http://schemas.openxmlformats.org/officeDocument/2006/relationships/image" Target="media/bd76b2a164336f68fadc5b3d338e3de6e9baeb01.png"/>
<Relationship Id="rId10" Type="http://schemas.openxmlformats.org/officeDocument/2006/relationships/image" Target="media/4c03a04f472f92d3385d8944ea32e99b380ca2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2026-03-20T14:18:57Z</dcterms:modified>
  <cp:category/>
</cp:coreProperties>
</file>