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true"/>
          <w:u w:val="none"/>
          <w:strike w:val="false"/>
          <w:sz w:val="32"/>
          <w:szCs w:val="32"/>
          <w:color w:val="000000"/>
        </w:rPr>
        <w:t xml:space="preserve">孟德尔随机化分析报告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8"/>
          <w:szCs w:val="28"/>
          <w:color w:val="000000"/>
        </w:rPr>
        <w:t xml:space="preserve">1. 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8"/>
          <w:szCs w:val="28"/>
          <w:color w:val="000000"/>
        </w:rPr>
        <w:t xml:space="preserve">方法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1.1 GWAS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数据获取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　　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通过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IEU OpenGWAS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数据库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（https://gwas.mrcieu.ac.uk/）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获取疾病相关的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GWAS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数据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1.2 pQTL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的</w:t>
      </w: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MR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分析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　　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从血浆蛋白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pQTL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的数据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（https://www.pqtlgen.org/）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中获取候选基因的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pQTL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数据作为暴露因素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通过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IEU OpenGWAS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数据库获得疾病的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GWAS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数据作为结局因素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工具变量筛选步骤同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eQTL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分析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最终整理两部分的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MR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结果取并集作为因果基因进行后续分析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1.3 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工具变量筛选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　　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筛选条件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：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包括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P&lt;5×10⁻⁶，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寻找与暴露因素显著相关的工具变量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（SNP）；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使用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clump=TRUE，r2=0.001，kb=10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去掉存在连锁不平衡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（LD）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的工具变量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去掉与结局显著相关的工具变量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剔除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F-statistics&lt;10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SNPs）。SNP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数目尽量大于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3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个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；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保留最小等位基因频率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MAF&gt;1%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位点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；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使用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Harmonise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函数协调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exposure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和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outcome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位点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1.4 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孟德尔随机化分析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　　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使用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TwoSampleMR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软件包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（https://mrcieu.github.io/TwoSampleMR/）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进行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MR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分析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五种算法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：Inverse variance weighted、MR Egger、Weighted median、Simple mode、Weighted mode），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并基于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IVW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方法的结果来评估候选基因与疾病风险之间的关系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（P&lt;0.05）。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采用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Cochran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Q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统计量来检验异质性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，p&gt;0.05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表明不存在异质性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使用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MR-Egger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回归和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MR-PRESSO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软件包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（https://github.com/rondolab/MR-PRESSO）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分析评估潜在的水平多效性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，p&gt;0.05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表明不存在水平多效性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还进行留一法检验来判断结果的可靠性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最后进行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Steiger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方向性分析验证因果方向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8"/>
          <w:szCs w:val="28"/>
          <w:color w:val="000000"/>
        </w:rPr>
        <w:t xml:space="preserve">2. 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8"/>
          <w:szCs w:val="28"/>
          <w:color w:val="000000"/>
        </w:rPr>
        <w:t xml:space="preserve">结果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2.1 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孟德尔随机化分析结果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　　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按照方法所述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对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1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个候选基因进行双样本孟德尔随机化分析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以探讨候选基因与疾病风险之间的因果关系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本次分析未发现显著的因果关系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（IVW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方法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值均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≥0.05）。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所有暴露的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IVW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效应值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（OR）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均为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1.052。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异质性检验显示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所有基因均存在显著异质性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（Q p&lt;0.05）；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水平多效性检验显示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所有基因均存在水平多效性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（p&lt;0.05）。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1 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不同暴露因素的孟德尔随机化分析结果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40"/>
        <w:gridCol w:w="1008"/>
        <w:gridCol w:w="2160"/>
        <w:gridCol w:w="720"/>
        <w:gridCol w:w="1152"/>
        <w:gridCol w:w="1008"/>
      </w:tblGrid>
      <w:tr>
        <w:trPr>
          <w:trHeight w:val="360" w:hRule="auto"/>
          <w:tblHeader/>
        </w:trPr>
        header1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Exposure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Method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SNP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p_value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OR</w:t>
            </w:r>
          </w:p>
        </w:tc>
      </w:tr>
      <w:tr>
        <w:trPr>
          <w:trHeight w:val="360" w:hRule="auto"/>
        </w:trPr>
        body1
        <w:tc>
          <w:tcPr>
            <w:vMerge w:val="restart"/>
            <w:tcBorders>
              <w:bottom w:val="single" w:sz="12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A1BG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0.3770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1.052</w:t>
            </w:r>
          </w:p>
        </w:tc>
      </w:tr>
      <w:tr>
        <w:trPr>
          <w:trHeight w:val="360" w:hRule="auto"/>
        </w:trPr>
        body2
        <w:tc>
          <w:tcPr>
            <w:vMerge/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MR-Egger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0.4310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0.910</w:t>
            </w:r>
          </w:p>
        </w:tc>
      </w:tr>
      <w:tr>
        <w:trPr>
          <w:trHeight w:val="360" w:hRule="auto"/>
        </w:trPr>
        body3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0.3380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1.077</w:t>
            </w:r>
          </w:p>
        </w:tc>
      </w:tr>
      <w:tr>
        <w:trPr>
          <w:trHeight w:val="360" w:hRule="auto"/>
        </w:trPr>
        body4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0.8220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1.080</w:t>
            </w:r>
          </w:p>
        </w:tc>
      </w:tr>
      <w:tr>
        <w:trPr>
          <w:trHeight w:val="360" w:hRule="auto"/>
        </w:trPr>
        body5
        <w:tc>
          <w:tcPr>
            <w:vMerge/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0.5880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1.077</w:t>
            </w:r>
          </w:p>
        </w:tc>
      </w:tr>
    </w:tbl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　　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1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结果显示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所有候选基因的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IVW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方法分析均未发现显著因果关联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（p≥0.05）。 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所有暴露的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IVW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效应值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（OR）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均为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1.052。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2.2 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敏感性分析结果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2 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暴露与疾病之间的敏感性分析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2.3 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可视化结果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图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1：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散点图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效应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）</w:t>
      </w:r>
    </w:p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图注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：x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轴代表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对暴露的影响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，y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轴代表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对结局的影响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每一个点代表了一个工具变量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每个点上的线实际反映的是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95%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置信区间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横坐标是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对暴露因素的效应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；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纵坐标是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对结局因素的效应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两个效应之比即暴露对结局的效应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即图中彩色线的斜率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不同颜色的线表示不同的算法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不同算法的线总体斜向上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则表示随着基因水平的升高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疾病的发病风险升高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；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不同算法的线总体斜向下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则表示随着基因水平的升高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疾病的发病风险降低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图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2：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森林图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效应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）</w:t>
      </w:r>
    </w:p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图注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：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每一条水平实线反映的是单个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对结局的效应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横坐标为效应值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（OR），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纵坐标为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名称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当效应值的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95%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置信区间不跨越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0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时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表明该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与结局存在显著关联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看最下面的红线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（IVW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算法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），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红线完全在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0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左边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说明基因水平增加能降低疾病的发病风险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；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红线完全在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0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右边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说明基因水平增加能增加疾病的发病风险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图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3：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漏斗图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异质性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）</w:t>
      </w:r>
    </w:p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图注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：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可以观察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的异质性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主要关注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IVW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线的左右两边的点是否大致对称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如果有特别离群的点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说明存在离群值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分析结果的可靠性需要谨慎解读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7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图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4：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逐个剔除检验图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敏感性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）</w:t>
      </w:r>
    </w:p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图注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：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孟德尔随机化逐个剔除检验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逐步剔除每个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后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重新计算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IVW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效应值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图中每一条水平线代表剔除对应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后的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IVW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效应值和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95%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置信区间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最右端的菱形代表纳入全部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时的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IVW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合并效应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）。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若剔除某个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后结果发生显著改变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说明该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对结果影响较大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可能存在异常值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Relationship Id="rId7" Type="http://schemas.openxmlformats.org/officeDocument/2006/relationships/image" Target="media/2569bf9dfd5600223d909d305de08258219a2924.png"/>
<Relationship Id="rId8" Type="http://schemas.openxmlformats.org/officeDocument/2006/relationships/image" Target="media/0fe60d67cabf8a6d5fea51c52fe9d99bb7497522.png"/>
<Relationship Id="rId9" Type="http://schemas.openxmlformats.org/officeDocument/2006/relationships/image" Target="media/bd76b2a164336f68fadc5b3d338e3de6e9baeb01.png"/>
<Relationship Id="rId10" Type="http://schemas.openxmlformats.org/officeDocument/2006/relationships/image" Target="media/4c03a04f472f92d3385d8944ea32e99b380ca24b.png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iyunlpf</cp:lastModifiedBy>
  <cp:revision>9</cp:revision>
  <dcterms:created xsi:type="dcterms:W3CDTF">2017-02-28T11:18:00Z</dcterms:created>
  <dcterms:modified xsi:type="dcterms:W3CDTF">2026-03-23T12:21:18Z</dcterms:modified>
  <cp:category/>
</cp:coreProperties>
</file>