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将筛选出的3个候选靶点作为暴露变量，疾病作为结局变量，进行两样本MR分析，以探讨候选靶点与疾病风险之间的因果关系。按方法进行数据过滤后，使用harmonise_data函数将暴露数据与结局数据进行合并，合并后共有5个SNP用于MR分析。MR分析未发现显著的因果关系（p&lt;0.05）。其中因此将这2个靶点作为因果靶点（包括NA、NA）。</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疾病</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2.2 敏感性分析结果</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疾病</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13.5143851376698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0.00901764484675123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body2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1.49493738792595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0.683439270568605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-0.2110873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0.0404369277715835</w:t>
            </w:r>
          </w:p>
        </w:tc>
      </w:tr>
    </w:tbl>
    <w:p>
      <w:pPr>
        <w:pStyle w:val="Normal"/>
      </w:pPr>
      <w:r>
        <w:t xml:space="preserve"/>
      </w:r>
    </w:p>
    <w:p>
      <w:pPr>
        <w:pStyle w:val="Normal"/>
      </w:pPr>
      <w:r>
        <w:t xml:space="preserve">2.3 可视化结果</w:t>
      </w:r>
    </w:p>
    <w:p>
      <w:pPr>
        <w:pStyle w:val="Normal"/>
      </w:pPr>
      <w:r>
        <w:t xml:space="preserve">图例文件：</w:t>
      </w:r>
    </w:p>
    <w:p>
      <w:pPr>
        <w:pStyle w:val="Normal"/>
      </w:pPr>
      <w:r>
        <w:t xml:space="preserve">figures/{exp_type}/01_scatter/{gene}.scatter.png/pdf - SNP效应散点图</w:t>
      </w:r>
    </w:p>
    <w:p>
      <w:pPr>
        <w:pStyle w:val="Normal"/>
      </w:pPr>
      <w:r>
        <w:t xml:space="preserve">figures/{exp_type}/02_forest/{gene}.forest.png/pdf + rsID.csv - SNP森林图</w:t>
      </w:r>
    </w:p>
    <w:p>
      <w:pPr>
        <w:pStyle w:val="Normal"/>
      </w:pPr>
      <w:r>
        <w:t xml:space="preserve">figures/{exp_type}/03_funnel/{gene}.funnel.png/pdf - 漏斗图</w:t>
      </w:r>
    </w:p>
    <w:p>
      <w:pPr>
        <w:pStyle w:val="Normal"/>
      </w:pPr>
      <w:r>
        <w:t xml:space="preserve">figures/{exp_type}/04_leaveoneout/{gene}.leaveoneout.png/pdf - 留一法图</w:t>
      </w:r>
    </w:p>
    <w:p>
      <w:pPr>
        <w:pStyle w:val="Normal"/>
      </w:pPr>
      <w:r>
        <w:t xml:space="preserve"/>
      </w:r>
    </w:p>
    <w:p>
      <w:pPr>
        <w:pStyle w:val="Normal"/>
      </w:pPr>
      <w:r>
        <w:t xml:space="preserve">【ukb-d-20480】</w:t>
      </w:r>
    </w:p>
    <w:p>
      <w:pPr>
        <w:pStyle w:val="Normal"/>
      </w:pPr>
      <w:r>
        <w:t xml:space="preserve">图A 散点图（SNP效应）（ukb-d-20480）</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图B 森林图（因果效应）（ukb-d-20480）</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图C 漏斗图（发表偏倚）（ukb-d-20480）</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图D 留一法图（敏感性）（ukb-d-20480）</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p>
      <w:pPr>
        <w:pStyle w:val="Normal"/>
      </w:pPr>
      <w:r>
        <w:t xml:space="preserve">【ukb-e-20523_AFR】</w:t>
      </w:r>
    </w:p>
    <w:p>
      <w:pPr>
        <w:pStyle w:val="Normal"/>
      </w:pPr>
      <w:r>
        <w:t xml:space="preserve">图E 散点图（SNP效应）（ukb-e-20523_AFR）</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图F 森林图（因果效应）（ukb-e-20523_AFR）</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图F：森林图展示了每个SNP位点对结局的效应大小。横坐标为效应值（OR），纵坐标为SNP名称。当效应值的95%置信区间不跨越0时，表明该SNP与结局存在显著关联。红色菱形为IVW方法的整体效应估计值。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图G 漏斗图（发表偏倚）（ukb-e-20523_AFR）</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图G：漏斗图用于评估发表偏倚。纵轴为效应量的精确度（1/SE），横轴为效应值。散点越接近顶点且对称分布，表明不存在显著发表偏倚，分析结果越可靠。</w:t>
      </w:r>
    </w:p>
    <w:p>
      <w:pPr>
        <w:pStyle w:val="Normal"/>
      </w:pPr>
      <w:r>
        <w:t xml:space="preserve">图H 留一法图（敏感性）（ukb-e-20523_AFR）</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图H：留一法图用于评估结果是否依赖特定SNP。逐步剔除每个SNP后，重新计算IVW效应值。若剔除某个SNP后结果发生显著改变，说明该SNP对结果影响较大，可能存在异常值。</w:t>
      </w:r>
    </w:p>
    <w:p>
      <w:pPr>
        <w:pStyle w:val="Normal"/>
      </w:pPr>
      <w:r>
        <w:t xml:space="preserve">【ukb-e-20523_CSA】</w:t>
      </w:r>
    </w:p>
    <w:p>
      <w:pPr>
        <w:pStyle w:val="Normal"/>
      </w:pPr>
      <w:r>
        <w:t xml:space="preserve">图I 散点图（SNP效应）（ukb-e-20523_CSA）</w:t>
      </w:r>
    </w:p>
    <w:p>
      <w:pPr>
        <w:pStyle w:val="Normal"/>
      </w:pPr>
      <w:r>
        <w:rPr/>
        <w:drawing>
          <wp:inline distT="0" distB="0" distL="0" distR="0">
            <wp:extent cx="457200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图I：散点图展示了每个SNP对暴露因素和结局因素的效应关系。横坐标为SNP对暴露的效应值，纵坐标为SNP对结局的效应值。不同颜色的线表示五种MR方法的拟合结果，通过斜率判断因果效应方向和大小。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图J 森林图（因果效应）（ukb-e-20523_CSA）</w:t>
      </w:r>
    </w:p>
    <w:p>
      <w:pPr>
        <w:pStyle w:val="Normal"/>
      </w:pPr>
      <w:r>
        <w:rPr/>
        <w:drawing>
          <wp:inline distT="0" distB="0" distL="0" distR="0">
            <wp:extent cx="45720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图J：森林图展示了每个SNP位点对结局的效应大小。横坐标为效应值（OR），纵坐标为SNP名称。当效应值的95%置信区间不跨越0时，表明该SNP与结局存在显著关联。红色菱形为IVW方法的整体效应估计值。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图K 漏斗图（发表偏倚）（ukb-e-20523_CSA）</w:t>
      </w:r>
    </w:p>
    <w:p>
      <w:pPr>
        <w:pStyle w:val="Normal"/>
      </w:pPr>
      <w:r>
        <w:rPr/>
        <w:drawing>
          <wp:inline distT="0" distB="0" distL="0" distR="0">
            <wp:extent cx="457200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图K：漏斗图用于评估发表偏倚。纵轴为效应量的精确度（1/SE），横轴为效应值。散点越接近顶点且对称分布，表明不存在显著发表偏倚，分析结果越可靠。</w:t>
      </w:r>
    </w:p>
    <w:p>
      <w:pPr>
        <w:pStyle w:val="Normal"/>
      </w:pPr>
      <w:r>
        <w:t xml:space="preserve">图L 留一法图（敏感性）（ukb-e-20523_CSA）</w:t>
      </w:r>
    </w:p>
    <w:p>
      <w:pPr>
        <w:pStyle w:val="Normal"/>
      </w:pPr>
      <w:r>
        <w:rPr/>
        <w:drawing>
          <wp:inline distT="0" distB="0" distL="0" distR="0">
            <wp:extent cx="457200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图L：留一法图用于评估结果是否依赖特定SNP。逐步剔除每个SNP后，重新计算IVW效应值。若剔除某个SNP后结果发生显著改变，说明该SNP对结果影响较大，可能存在异常值。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2026-03-20T16:29:32Z</dcterms:modified>
  <cp:category/>
</cp:coreProperties>
</file>