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OpenGWAS数据库（https://gwas.mrcieu.ac.uk/）检索，获取暴露因素和结局的GWAS数据。</w:t>
      </w:r>
    </w:p>
    <w:p>
      <w:pPr>
        <w:pStyle w:val="Normal"/>
      </w:pPr>
      <w:r>
        <w:t xml:space="preserve"/>
      </w:r>
    </w:p>
    <w:p>
      <w:pPr>
        <w:pStyle w:val="Normal"/>
      </w:pPr>
      <w:r>
        <w:t xml:space="preserve">1.2 工具变量筛选</w:t>
      </w:r>
    </w:p>
    <w:p>
      <w:pPr>
        <w:pStyle w:val="Normal"/>
      </w:pPr>
      <w:r>
        <w:t xml:space="preserve">通过R包TwoSampleMR（https://mrcieu.github.io/TwoSampleMR/）中的extract_instruments进行暴露因素的读取和工具变量的筛选。筛选条件：p&lt;5×10⁻⁸，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同时使用MR-PRESSO软件包（https://github.com/rondolab/MR-PRESSO）进行水平多效性检验。</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2.1 孟德尔随机化分析结果</w:t>
      </w:r>
    </w:p>
    <w:p>
      <w:pPr>
        <w:pStyle w:val="Normal"/>
      </w:pPr>
      <w:r>
        <w:t xml:space="preserve">按照方法所述，将筛选出的3个候选靶点作为暴露变量，疾病作为结局变量，进行两样本MR分析，以探讨候选靶点与疾病风险之间的因果关系。按方法进行数据过滤后，使用harmonise_data函数将暴露数据与结局数据进行合并，合并后共有5个SNP用于MR分析。MR分析未发现显著的因果关系（p&lt;0.05）。</w:t>
      </w:r>
    </w:p>
    <w:p>
      <w:pPr>
        <w:pStyle w:val="Normal"/>
      </w:pPr>
      <w:r>
        <w:t xml:space="preserve"/>
      </w:r>
    </w:p>
    <w:p>
      <w:pPr>
        <w:pStyle w:val="Normal"/>
      </w:pPr>
      <w:r>
        <w:t xml:space="preserve">表1 不同暴露因素的孟德尔随机化分析结果</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3456"/>
        <w:gridCol w:w="720"/>
        <w:gridCol w:w="1152"/>
        <w:gridCol w:w="1008"/>
      </w:tblGrid>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(multiplicative random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r>
    </w:tbl>
    <w:p>
      <w:pPr>
        <w:pStyle w:val="Normal"/>
      </w:pPr>
      <w:r>
        <w:t xml:space="preserve"/>
      </w:r>
    </w:p>
    <w:p>
      <w:pPr>
        <w:pStyle w:val="Normal"/>
      </w:pPr>
      <w:r>
        <w:t xml:space="preserve">表1结果显示，所有暴露因素的IVW方法分析均未发现显著因果关联（p≥0.05）。 所有暴露的IVW效应值（OR）范围为1.05至1.05。 所有暴露均为危险因素（OR&gt;1）。</w:t>
      </w:r>
    </w:p>
    <w:p>
      <w:pPr>
        <w:pStyle w:val="Normal"/>
      </w:pPr>
      <w:r>
        <w:t xml:space="preserve"/>
      </w:r>
    </w:p>
    <w:p>
      <w:pPr>
        <w:pStyle w:val="Normal"/>
      </w:pPr>
      <w:r>
        <w:t xml:space="preserve">2.2 敏感性分析结果</w:t>
      </w:r>
    </w:p>
    <w:p>
      <w:pPr>
        <w:pStyle w:val="Normal"/>
      </w:pPr>
      <w:r>
        <w:t xml:space="preserve"/>
      </w:r>
    </w:p>
    <w:p>
      <w:pPr>
        <w:pStyle w:val="Normal"/>
      </w:pPr>
      <w:r>
        <w:t xml:space="preserve">表2 暴露与疾病之间的敏感性分析</w:t>
      </w:r>
    </w:p>
    <w:tbl xmlns:a="http://schemas.openxmlformats.org/drawingml/2006/main" xmlns:pic="http://schemas.openxmlformats.org/drawingml/2006/picture">
      <w:tblPr>
        <w:tblLayout w:type="fixed"/>
        <w:jc w:val="center"/>
        <w:tblLook w:firstRow="1" w:lastRow="0" w:firstColumn="0" w:lastColumn="0" w:noHBand="0" w:noVBand="1"/>
      </w:tblPr>
      <w:tblGrid>
        <w:gridCol w:w="1152"/>
        <w:gridCol w:w="1008"/>
        <w:gridCol w:w="3168"/>
        <w:gridCol w:w="1584"/>
        <w:gridCol w:w="720"/>
        <w:gridCol w:w="1296"/>
        <w:gridCol w:w="1080"/>
        <w:gridCol w:w="1224"/>
      </w:tblGrid>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Heterogeneity_Q</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Q_df</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Egger_intercept</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Pleiotropy_pval</w:t>
            </w:r>
          </w:p>
        </w:tc>
      </w:tr>
      <w:tr>
        <w:trPr>
          <w:trHeight w:val="360" w:hRule="auto"/>
        </w:trPr>
        body1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13.5143851376698</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0.00901764484675123</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-0.211087272267012</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0.0404369277715835</w:t>
            </w:r>
          </w:p>
        </w:tc>
      </w:tr>
      <w:tr>
        <w:trPr>
          <w:trHeight w:val="360" w:hRule="auto"/>
        </w:trPr>
        body2
        <w:tc>
          <w:tcPr>
            <w:vMerge/>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1.49493738792595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0.683439270568605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p>
      <w:pPr>
        <w:pStyle w:val="Normal"/>
      </w:pPr>
      <w:r>
        <w:t xml:space="preserve"/>
      </w:r>
    </w:p>
    <w:p>
      <w:pPr>
        <w:pStyle w:val="Normal"/>
      </w:pPr>
      <w:r>
        <w:t xml:space="preserve">异质性检验结果显示：所有暴露因素均存在显著异质性（Q p&lt;0.05）；水平多效性检验结果显示：所有暴露因素均存在水平多效性（p&lt;0.05）。</w:t>
      </w:r>
    </w:p>
    <w:p>
      <w:pPr>
        <w:pStyle w:val="Normal"/>
      </w:pPr>
      <w:r>
        <w:t xml:space="preserve"/>
      </w:r>
    </w:p>
    <w:p>
      <w:pPr>
        <w:pStyle w:val="Normal"/>
      </w:pPr>
      <w:r>
        <w:t xml:space="preserve">2.3 可视化结果</w:t>
      </w:r>
    </w:p>
    <w:p>
      <w:pPr>
        <w:pStyle w:val="Normal"/>
      </w:pPr>
      <w:r>
        <w:t xml:space="preserve"/>
      </w:r>
    </w:p>
    <w:p>
      <w:pPr>
        <w:pStyle w:val="Normal"/>
      </w:pPr>
      <w:r>
        <w:t xml:space="preserve">图1 散点图（SNP效应）</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图1：散点图展示了每个SNP对暴露因素和结局因素的效应关系。横坐标为SNP对暴露的效应值，纵坐标为SNP对结局的效应值。不同颜色的线表示五种MR方法的拟合结果，通过斜率判断因果效应方向和大小。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图2 森林图（因果效应）</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图2：森林图展示了每个SNP位点对结局的效应大小。横坐标为效应值（OR），纵坐标为SNP名称。当效应值的95%置信区间不跨越0时，表明该SNP与结局存在显著关联。红色菱形为IVW方法的整体效应估计值。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图3 漏斗图（发表偏倚）</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图3：漏斗图用于评估发表偏倚。纵轴为效应量的精确度（1/SE），横轴为效应值。散点越接近顶点且对称分布，表明不存在显著发表偏倚，分析结果越可靠。</w:t>
      </w:r>
    </w:p>
    <w:p>
      <w:pPr>
        <w:pStyle w:val="Normal"/>
      </w:pPr>
      <w:r>
        <w:t xml:space="preserve">图4 留一法图（敏感性）</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图4：留一法图用于评估结果是否依赖特定SNP。逐步剔除每个SNP后，重新计算IVW效应值。若剔除某个SNP后结果发生显著改变，说明该SNP对结果影响较大，可能存在异常值。</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0453d3fd90c8472fb947756b909a9163dec0fff3.png"/>
<Relationship Id="rId8" Type="http://schemas.openxmlformats.org/officeDocument/2006/relationships/image" Target="media/d74074b92f6d9454b0600b0037cec3ede0410e3b.png"/>
<Relationship Id="rId9" Type="http://schemas.openxmlformats.org/officeDocument/2006/relationships/image" Target="media/6c7469f656fea1de01073e780854b3bc72c59541.png"/>
<Relationship Id="rId10" Type="http://schemas.openxmlformats.org/officeDocument/2006/relationships/image" Target="media/78b9391b6b2c8cbf895b8e8ac5b5aaee4c3ec6b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2026-03-20T17:06:56Z</dcterms:modified>
  <cp:category/>
</cp:coreProperties>
</file>