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eQTL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通过双样本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将单核苷酸多态性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定义为工具变量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（https://www.eQTLGen.com），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首先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进行工具变量的筛选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读取暴露因素并确定与暴露因素独立相关的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将它们作为评估暴露因素和结局之间因果关系的工具变量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筛选指标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P&lt;5×10⁻⁸，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clump=TRUE，r2=0.001，kb=10000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这三个指标去掉存在连锁不平衡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并将暴露因素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结局进行匹配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排除具有中等位基因频率的回文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我们还采用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其中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还进行留一法检验来判断结果具有可靠性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为了验证正向分析的结果不受反向因果效应的干扰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（correct_causal_direction=1/TRUE，steiger_test_adj&lt;0.05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才能说明通过了反向的检验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如果计算出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NA，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则视为不通过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。）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按照方法所述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个候选基因进行双样本孟德尔随机化分析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本次分析未发现显著的因果关系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值均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≥0.05）。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范围为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1.014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1.036。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异质性检验显示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所有基因均不存在显著异质性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（Q p&gt;0.05）；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所有基因均不存在水平多效性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（p&gt;0.05）。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1.036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1.094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1.034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1.096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1.014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1.029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1.016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1.018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0.9479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方法分析均未发现显著因果关联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（p≥0.05）。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范围为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1.014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1.036。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1152"/>
        <w:gridCol w:w="720"/>
        <w:gridCol w:w="1152"/>
        <w:gridCol w:w="1152"/>
        <w:gridCol w:w="1152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Egger_intercept_pval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MR_PRESSO_global_p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7.2183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0.239729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0.4580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0.239729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0.4580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0.566516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0.5160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3.0061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0.2225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0.566516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0.5160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所有暴露因素均不存在显著异质性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（Q p&gt;0.05）；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所有暴露因素均不存在水平多效性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（p&gt;0.05）。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散点图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：x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，y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每一个点代表了一个工具变量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每个点上的线实际反映的是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两个效应之比即暴露对结局的效应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即图中彩色线的斜率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不同颜色的线表示不同的算法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疾病的发病风险降低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森林图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每一条水平实线反映的是单个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横坐标为效应值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名称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当效应值的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置信区间不跨越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与结局存在显著关联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看最下面的红线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左边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说明基因水平增加能降低疾病的发病风险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右边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说明基因水平增加能增加疾病的发病风险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漏斗图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可以观察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主要关注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线的左右两边的点是否大致对称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如果有特别离群的点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说明存在离群值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分析结果的可靠性需要谨慎解读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逐个剔除检验图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敏感性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孟德尔随机化逐个剔除检验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逐步剔除每个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重新计算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图中每一条水平线代表剔除对应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最右端的菱形代表纳入全部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合并效应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若剔除某个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后结果发生显著改变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对结果影响较大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可能存在异常值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305c5c8fab147785d6a35935f0682ee29d025510.png"/>
<Relationship Id="rId8" Type="http://schemas.openxmlformats.org/officeDocument/2006/relationships/image" Target="media/4c17735e11a3843d0a39d74f257e390e39e63c4e.png"/>
<Relationship Id="rId9" Type="http://schemas.openxmlformats.org/officeDocument/2006/relationships/image" Target="media/9bfb45f9dd522ccbd135ffdd8197026e9face16b.png"/>
<Relationship Id="rId10" Type="http://schemas.openxmlformats.org/officeDocument/2006/relationships/image" Target="media/e96537b86312ce051a4887631de073f982affe37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2026-03-23T12:13:59Z</dcterms:modified>
  <cp:category/>
</cp:coreProperties>
</file>