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读取暴露因素并确定与暴露因素独立相关的SNP，将它们作为评估暴露因素和结局之间因果关系的工具变量（IVs）。筛选指标：包括P&lt;1×10⁻⁶，寻找与暴露因素显著相关的工具变量（SNP）；使用clump=TRUE，r2=0.001，kb=5000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为探讨候选基因与疾病风险之间的因果关系，使用'TwoSampleMR'软件包进行MR分析（五种算法：Inverse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'TwoSampleMR'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1.5 整理通过MR分析的有因果关系的基因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Table 1. 孟德尔随机化分析结果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0.0006785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0.09964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Table 2.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0.7993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0.312161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d5adf8432f3c44d0811e1d367449fbe2afc22153.png"/>
<Relationship Id="rId8" Type="http://schemas.openxmlformats.org/officeDocument/2006/relationships/image" Target="media/9a7c730d1dbcf99616a1bb0c90a347eb98d09eea.png"/>
<Relationship Id="rId9" Type="http://schemas.openxmlformats.org/officeDocument/2006/relationships/image" Target="media/01920e2ff1d3f4c0912eeb04d062313a2f465b0b.png"/>
<Relationship Id="rId10" Type="http://schemas.openxmlformats.org/officeDocument/2006/relationships/image" Target="media/828b4211525850e8ee014daef63f8605a829ea2e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2026-03-18T17:06:09Z</dcterms:modified>
  <cp:category/>
</cp:coreProperties>
</file>