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1</w:t>
      </w:r>
    </w:p>
    <w:p>
      <w:pPr>
        <w:pStyle w:val="Normal"/>
      </w:pPr>
      <w:r>
        <w:t xml:space="preserve">显著基因数（IVW p &lt; 0.05）： 1</w:t>
      </w:r>
    </w:p>
    <w:p>
      <w:pPr>
        <w:pStyle w:val="Normal"/>
      </w:pPr>
      <w:r>
        <w:t xml:space="preserve">因果方向正确基因数（Steiger）： 1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0.0824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1.323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1.126-1.555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0.0006785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异质性与多效性检验结果</w:t>
      </w:r>
    </w:p>
    <w:p>
      <w:pPr>
        <w:pStyle w:val="Normal"/>
      </w:pPr>
      <w:r>
        <w:t xml:space="preserve">（共1行）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Q_P-value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0.7993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0.027182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0.025199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0.312161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三重筛选结果</w:t>
      </w:r>
    </w:p>
    <w:p>
      <w:pPr>
        <w:pStyle w:val="Normal"/>
      </w:pPr>
      <w:r>
        <w:t xml:space="preserve">成功分析基因数： 1</w:t>
      </w:r>
    </w:p>
    <w:p>
      <w:pPr>
        <w:pStyle w:val="Normal"/>
      </w:pPr>
      <w:r>
        <w:t xml:space="preserve">三重筛选标准：1) IVW p &lt; 0.05；2) Steiger方向性检验 p &lt; 0.05 且方向正确；3) MR-Egger截距 p &gt; 0.05（无显著水平多效性）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d5adf8432f3c44d0811e1d367449fbe2afc22153.png"/>
<Relationship Id="rId8" Type="http://schemas.openxmlformats.org/officeDocument/2006/relationships/image" Target="media/9a7c730d1dbcf99616a1bb0c90a347eb98d09eea.png"/>
<Relationship Id="rId9" Type="http://schemas.openxmlformats.org/officeDocument/2006/relationships/image" Target="media/01920e2ff1d3f4c0912eeb04d062313a2f465b0b.png"/>
<Relationship Id="rId10" Type="http://schemas.openxmlformats.org/officeDocument/2006/relationships/image" Target="media/828b4211525850e8ee014daef63f8605a829ea2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2026-03-17T16:43:01Z</dcterms:modified>
  <cp:category/>
</cp:coreProperties>
</file>