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暴露的IVW效应值（OR）范围为1.02至1.02。所有暴露均为危险因素（OR&gt;1）。异质性检验结果显示：所有基因均存在显著异质性（Q p&lt;0.05）；所有基因均不存在水平多效性（p&gt;0.05）。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152"/>
        <w:gridCol w:w="3456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0.8695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所有暴露的IVW效应值（OR）范围为1.02至1.02。 所有暴露均为危险因素（OR&gt;1）。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2"/>
        <w:gridCol w:w="1008"/>
        <w:gridCol w:w="3168"/>
        <w:gridCol w:w="1584"/>
        <w:gridCol w:w="720"/>
        <w:gridCol w:w="1296"/>
        <w:gridCol w:w="1080"/>
        <w:gridCol w:w="1224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0.452169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0.47532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结果显示：异质性检验结果显示：所有暴露因素均存在显著异质性（Q p&lt;0.05）；水平多效性检验结果显示：所有暴露因素均不存在水平多效性（p&gt;0.05）。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2026-03-20T17:19:57Z</dcterms:modified>
  <cp:category/>
</cp:coreProperties>
</file>