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本次分析未发现显著的因果关系（IVW方法P值均≥0.05）。所有暴露的IVW效应值（OR）范围为1.017至1.025。异质性检验结果显示：所有基因均存在显著异质性（Q p&lt;0.05）；所有基因均不存在水平多效性（p&gt;0.05）。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1.025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1.098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1.072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1.017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1.019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0.638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0.924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0.8656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所有暴露的IVW效应值（OR）范围为1.017至1.025。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1152"/>
        <w:gridCol w:w="1584"/>
        <w:gridCol w:w="720"/>
        <w:gridCol w:w="1296"/>
        <w:gridCol w:w="1080"/>
        <w:gridCol w:w="1224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0.4522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结果显示：异质性检验结果显示：所有暴露因素均存在显著异质性（Q p&lt;0.05）；水平多效性检验结果显示：所有暴露因素均不存在水平多效性（p&gt;0.05）。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2026-03-20T18:10:19Z</dcterms:modified>
  <cp:category/>
</cp:coreProperties>
</file>