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1.017至1.025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所有暴露的IVW效应值（OR）范围为1.017至1.025。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3600"/>
        <w:gridCol w:w="864"/>
        <w:gridCol w:w="1440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n_IVs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(IVW)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0.5511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(MR-Egger)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 pleiotropy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(IVW)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0.9342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(MR-Egger)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0.9614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 pleiotropy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0.4522</w:t>
            </w:r>
          </w:p>
        </w:tc>
      </w:tr>
      <w:tr>
        <w:trPr>
          <w:trHeight w:val="360" w:hRule="auto"/>
        </w:trPr>
        body7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(IVW)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0.2104</w:t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(MR-Egger)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</w:tr>
      <w:tr>
        <w:trPr>
          <w:trHeight w:val="360" w:hRule="auto"/>
        </w:trPr>
        body9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 pleiotropy test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结果显示：异质性检验显示，所有暴露因素均不存在显著异质性（Q p&gt;0.05）；水平多效性检验显示，所有暴露因素均不存在水平多效性（p&gt;0.05）。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2026-03-20T19:27:28Z</dcterms:modified>
  <cp:category/>
</cp:coreProperties>
</file>