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⁸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2个候选基因进行双样本孟德尔随机化分析，以探讨候选基因与疾病风险之间的因果关系。本次分析未发现显著的因果关系（IVW方法P值均≥0.05）。所有暴露的IVW效应值（OR）范围为1.014至1.036。异质性检验显示，所有基因均不存在显著异质性（Q p&gt;0.05）；水平多效性检验显示，所有基因均不存在水平多效性（p&gt;0.05）。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1.036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1.096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1.014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1.029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0.9513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所有暴露的IVW效应值（OR）范围为1.014至1.036。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7.2183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3.0061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结果显示，异质性检验，所有暴露因素均不存在显著异质性（Q p&gt;0.05）；水平多效性检验，-2个暴露因素存在水平多效性，4个不存在水平多效性（p&gt;0.05）。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05c5c8fab147785d6a35935f0682ee29d025510.png"/>
<Relationship Id="rId8" Type="http://schemas.openxmlformats.org/officeDocument/2006/relationships/image" Target="media/4c17735e11a3843d0a39d74f257e390e39e63c4e.png"/>
<Relationship Id="rId9" Type="http://schemas.openxmlformats.org/officeDocument/2006/relationships/image" Target="media/9bfb45f9dd522ccbd135ffdd8197026e9face16b.png"/>
<Relationship Id="rId10" Type="http://schemas.openxmlformats.org/officeDocument/2006/relationships/image" Target="media/e96537b86312ce051a4887631de073f982affe3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2026-03-22T14:42:30Z</dcterms:modified>
  <cp:category/>
</cp:coreProperties>
</file>