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p&gt;0.05）；水平多效性检验，-2个暴露因素存在水平多效性，4个不存在水平多效性（p&gt;0.05）。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2026-03-22T14:48:38Z</dcterms:modified>
  <cp:category/>
</cp:coreProperties>
</file>