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数据来源</w:t>
      </w:r>
    </w:p>
    <w:p>
      <w:pPr>
        <w:pStyle w:val="Normal"/>
      </w:pPr>
      <w:r>
        <w:t xml:space="preserve">暴露因素数据：从eQTLGen数据库（https://www.eQTLGen.com）获得候选基因的顺式eQTL数据作为暴露因素。</w:t>
      </w:r>
    </w:p>
    <w:p>
      <w:pPr>
        <w:pStyle w:val="Normal"/>
      </w:pPr>
      <w:r>
        <w:t xml:space="preserve">结局因素数据：通过IEU OpenGWAS数据库（https://gwas.mrcieu.ac.uk/）获取疾病相关的GWAS数据作为结局因素。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工具变量筛选</w:t>
      </w:r>
    </w:p>
    <w:p>
      <w:pPr>
        <w:pStyle w:val="Normal"/>
      </w:pPr>
      <w:r>
        <w:t xml:space="preserve">通过R包'TwoSampleMR'（Version 0.5.6，https://mrcieu.github.io/TwoSampleMR/）进行暴露因素的读取和工具变量的筛选。筛选条件：</w:t>
      </w:r>
    </w:p>
    <w:p>
      <w:pPr>
        <w:pStyle w:val="Normal"/>
      </w:pPr>
      <w:r>
        <w:t xml:space="preserve">（1）P值阈值：P&lt;5×10⁻⁶，寻找与暴露因素显著相关的工具变量（SNP）；</w:t>
      </w:r>
    </w:p>
    <w:p>
      <w:pPr>
        <w:pStyle w:val="Normal"/>
      </w:pPr>
      <w:r>
        <w:t xml:space="preserve">（2）连锁不平衡去相关：使用clump=TRUE，r²=0.001，kb=10000去掉存在连锁不平衡（LD）的工具变量；</w:t>
      </w:r>
    </w:p>
    <w:p>
      <w:pPr>
        <w:pStyle w:val="Normal"/>
      </w:pPr>
      <w:r>
        <w:t xml:space="preserve">（3）F统计量筛选：剔除F-statistics&lt;10的弱工具变量SNPs；</w:t>
      </w:r>
    </w:p>
    <w:p>
      <w:pPr>
        <w:pStyle w:val="Normal"/>
      </w:pPr>
      <w:r>
        <w:t xml:space="preserve">（4）最小等位基因频率：保留MAF&gt;1%的位点；</w:t>
      </w:r>
    </w:p>
    <w:p>
      <w:pPr>
        <w:pStyle w:val="Normal"/>
      </w:pPr>
      <w:r>
        <w:t xml:space="preserve">（5）SNP数量：每个基因的工具变量SNP数目尽量大于3个；</w:t>
      </w:r>
    </w:p>
    <w:p>
      <w:pPr>
        <w:pStyle w:val="Normal"/>
      </w:pPr>
      <w:r>
        <w:t xml:space="preserve">（6）效应等位协调：通过harmonise_data函数统一暴露因素和结局因素的效应等位基因和效应量。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孟德尔随机化分析</w:t>
      </w:r>
    </w:p>
    <w:p>
      <w:pPr>
        <w:pStyle w:val="Normal"/>
      </w:pPr>
      <w:r>
        <w:t xml:space="preserve">使用'TwoSampleMR'R包进行MR分析，采用五种算法评估候选基因与疾病风险之间的因果关系：</w:t>
      </w:r>
    </w:p>
    <w:p>
      <w:pPr>
        <w:pStyle w:val="Normal"/>
      </w:pPr>
      <w:r>
        <w:t xml:space="preserve">（1）Inverse variance weighted（IVW）：主要分析方法，固定效应逆方差加权法；</w:t>
      </w:r>
    </w:p>
    <w:p>
      <w:pPr>
        <w:pStyle w:val="Normal"/>
      </w:pPr>
      <w:r>
        <w:t xml:space="preserve">（2）MR Egger：考虑水平多效性的敏感性分析方法；</w:t>
      </w:r>
    </w:p>
    <w:p>
      <w:pPr>
        <w:pStyle w:val="Normal"/>
      </w:pPr>
      <w:r>
        <w:t xml:space="preserve">（3）Weighted median：加权中位数方法，对异常值更稳健；</w:t>
      </w:r>
    </w:p>
    <w:p>
      <w:pPr>
        <w:pStyle w:val="Normal"/>
      </w:pPr>
      <w:r>
        <w:t xml:space="preserve">（4）Weighted mode：加权众数方法；</w:t>
      </w:r>
    </w:p>
    <w:p>
      <w:pPr>
        <w:pStyle w:val="Normal"/>
      </w:pPr>
      <w:r>
        <w:t xml:space="preserve">（5）Simple mode：简单众数方法。</w:t>
      </w:r>
    </w:p>
    <w:p>
      <w:pPr>
        <w:pStyle w:val="Normal"/>
      </w:pPr>
      <w:r>
        <w:t xml:space="preserve">以IVW方法的P值&lt;0.05作为判断因果关系显著性的标准。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敏感性分析</w:t>
      </w:r>
    </w:p>
    <w:p>
      <w:pPr>
        <w:pStyle w:val="Normal"/>
      </w:pPr>
      <w:r>
        <w:t xml:space="preserve">（1）异质性检验（Heterogeneity test）：采用Cochran's Q统计量评估工具变量间的异质性程度，P&gt;0.05表明不存在显著异质性。</w:t>
      </w:r>
    </w:p>
    <w:p>
      <w:pPr>
        <w:pStyle w:val="Normal"/>
      </w:pPr>
      <w:r>
        <w:t xml:space="preserve">（2）水平多效性检验（Horizontal pleiotropy test）：通过MR-Egger截距检验评估是否存在水平多效性，P&gt;0.05表明不存在水平多效性。</w:t>
      </w:r>
    </w:p>
    <w:p>
      <w:pPr>
        <w:pStyle w:val="Normal"/>
      </w:pPr>
      <w:r>
        <w:t xml:space="preserve">（3）留一法检验（Leave-one-out sensitivity test）：逐步剔除每个SNP，重新计算剩余SNP的合并效应，观察结果是否依赖特定SNP。</w:t>
      </w:r>
    </w:p>
    <w:p>
      <w:pPr>
        <w:pStyle w:val="Normal"/>
      </w:pPr>
      <w:r>
        <w:t xml:space="preserve">（4）Steiger方向性检验（Steiger test）：验证因果方向是否正确，排除反向因果关系的干扰。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按照方法所述，对1个候选基因进行双样本孟德尔随机化分析，以探讨候选基因与疾病风险之间的因果关系。其中有1个基因的IVW方法P值&lt;0.05，表明这些基因与疾病风险存在显著的因果关联。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1920e2ff1d3f4c0912eeb04d062313a2f465b0b.png"/>
<Relationship Id="rId8" Type="http://schemas.openxmlformats.org/officeDocument/2006/relationships/image" Target="media/d5adf8432f3c44d0811e1d367449fbe2afc22153.png"/>
<Relationship Id="rId9" Type="http://schemas.openxmlformats.org/officeDocument/2006/relationships/image" Target="media/9a7c730d1dbcf99616a1bb0c90a347eb98d09eea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2026-03-19T12:37:33Z</dcterms:modified>
  <cp:category/>
</cp:coreProperties>
</file>