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pQTL的MR分析</w:t>
      </w:r>
    </w:p>
    <w:p>
      <w:pPr>
        <w:pStyle w:val="Normal"/>
      </w:pPr>
      <w:r>
        <w:t xml:space="preserve">从血浆蛋白pQTL的数据中获取候选基因的pQTL数据作为暴露因素，通过IEU OpenGWAS数据库获得疾病的GWAS数据作为结局因素。工具变量筛选步骤同eQTL分析。最终整理两部分的MR结果取并集作为因果基因进行后续分析。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筛选条件：包括P&lt;5×10⁻⁸，寻找与暴露因素显著相关的工具变量（SNP）；使用clump=TRUE，r2=0.001，kb=10000去掉存在连锁不平衡（LD）的工具变量。去掉与结局显著相关的工具变量（剔除F-statistics&lt;10的SNPs）。SNP数目尽量大于3个；保留最小等位基因频率MAF&gt;1%位点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使用'TwoSampleMR'软件包进行MR分析（五种算法：Inverse variance weighted、MR Egger、Weighted median、Simple mode、Weighted mode），并基于IVW方法的结果来评估候选基因与疾病风险之间的关系（P&lt;0.05）。采用Cochran的Q统计量来检验异质性，p&gt;0.05表明不存在异质性。使用MR-Egger回归评估潜在的水平多效性，p&gt;0.05表明不存在水平多效性。还进行留一法检验来判断结果的可靠性。最后进行Steiger方向性分析验证因果方向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1.5 整理两部分的MR结果取并集作为因果基因进行后续分析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2026-03-18T16:45:43Z</dcterms:modified>
  <cp:category/>
</cp:coreProperties>
</file>