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数据来源</w:t>
      </w:r>
    </w:p>
    <w:p>
      <w:pPr>
        <w:pStyle w:val="Normal"/>
      </w:pPr>
      <w:r>
        <w:t xml:space="preserve">通过IEU OpenGWAS数据库（https://gwas.mrcieu.ac.uk/）检索，获取暴露因素和结局的GWAS数据。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工具变量筛选</w:t>
      </w:r>
    </w:p>
    <w:p>
      <w:pPr>
        <w:pStyle w:val="Normal"/>
      </w:pPr>
      <w:r>
        <w:t xml:space="preserve">通过R包'TwoSampleMR'中的extract_instruments函数进行暴露因素的读取和工具变量的筛选。筛选条件：</w:t>
      </w:r>
    </w:p>
    <w:p>
      <w:pPr>
        <w:pStyle w:val="Normal"/>
      </w:pPr>
      <w:r>
        <w:t xml:space="preserve">（1）P值阈值：p&lt;5×10⁻⁸，寻找与暴露因素显著相关的工具变量（SNP）；</w:t>
      </w:r>
    </w:p>
    <w:p>
      <w:pPr>
        <w:pStyle w:val="Normal"/>
      </w:pPr>
      <w:r>
        <w:t xml:space="preserve">（2）连锁不平衡去相关：clump=TRUE，r²=0.001，kb=10000；</w:t>
      </w:r>
    </w:p>
    <w:p>
      <w:pPr>
        <w:pStyle w:val="Normal"/>
      </w:pPr>
      <w:r>
        <w:t xml:space="preserve">（3）F统计量：所有工具变量的F统计量均&gt;10，不存在弱工具变量；</w:t>
      </w:r>
    </w:p>
    <w:p>
      <w:pPr>
        <w:pStyle w:val="Normal"/>
      </w:pPr>
      <w:r>
        <w:t xml:space="preserve">（4）效应等位协调：通过harmonise_data函数统一暴露因素和结局因素的效应等位基因。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孟德尔随机化分析</w:t>
      </w:r>
    </w:p>
    <w:p>
      <w:pPr>
        <w:pStyle w:val="Normal"/>
      </w:pPr>
      <w:r>
        <w:t xml:space="preserve">使用R包'TwoSampleMR'的mr函数结合五种算法进行MR分析（MR Egger、Weighted median、Inverse variance weighted、Simple mode、Weighted mode）。结果主要参考Inverse variance weighted（IVW）方法，并根据异质性检验结果选择效应模型：存在异质性时使用随机效应IVW，不存在异质性时使用固定效应IVW。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敏感性分析</w:t>
      </w:r>
    </w:p>
    <w:p>
      <w:pPr>
        <w:pStyle w:val="Normal"/>
      </w:pPr>
      <w:r>
        <w:t xml:space="preserve">（1）异质性检验（Heterogeneity test）：使用mr_heterogeneity函数计算Cochran's Q统计量评估异质性，P&gt;0.05表明不存在显著异质性。</w:t>
      </w:r>
    </w:p>
    <w:p>
      <w:pPr>
        <w:pStyle w:val="Normal"/>
      </w:pPr>
      <w:r>
        <w:t xml:space="preserve">（2）水平多效性检验（Horizontal pleiotropy test）：使用mr_pleiotropy_test函数检验，P&lt;0.05表明存在水平多效性。</w:t>
      </w:r>
    </w:p>
    <w:p>
      <w:pPr>
        <w:pStyle w:val="Normal"/>
      </w:pPr>
      <w:r>
        <w:t xml:space="preserve">（3）留一法检验（Leave-one-out sensitivity test）：逐步剔除每个SNP，观察结果是否依赖特定SNP。</w:t>
      </w:r>
    </w:p>
    <w:p>
      <w:pPr>
        <w:pStyle w:val="Normal"/>
      </w:pPr>
      <w:r>
        <w:t xml:space="preserve">（4）Steiger方向性检验：判断因果方向是否正确，TRUE表明方向正确。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按照方法所述，对1个候选基因进行双样本孟德尔随机化分析，以探讨候选基因与疾病风险之间的因果关系。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ukb d 20480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finn-b-TRAUMBRAIN_NONCONCUS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 (fixed effects)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ukb d 20480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finn-b-TRAUMBRAIN_NONCONCUS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ukb d 20480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finn-b-TRAUMBRAIN_NONCONCUS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ukb d 20480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finn-b-TRAUMBRAIN_NONCONCUS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ukb d 20480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finn-b-TRAUMBRAIN_NONCONCUS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图A：散点图展示了每个SNP对暴露因素和结局因素的效应关系。横坐标为SNP对暴露的效应值，纵坐标为SNP对结局的效应值。不同颜色的线表示五种MR方法的拟合结果，通过斜率判断因果效应方向和大小。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图B：森林图展示了每个SNP位点对结局的效应大小。横坐标为效应值（OR），纵坐标为SNP名称。当效应值的95%置信区间不跨越0时，表明该SNP与结局存在显著关联。红色菱形为IVW方法的整体效应估计值。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图C：漏斗图用于评估发表偏倚。纵轴为效应量的精确度（1/SE），横轴为效应值。散点越接近顶点且对称分布，表明不存在显著发表偏倚，分析结果越可靠。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图D：留一法图用于评估结果是否依赖特定SNP。逐步剔除每个SNP后，重新计算IVW效应值。若剔除某个SNP后结果发生显著改变，说明该SNP对结果影响较大，可能存在异常值。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1eabb5911c2d6bf6ccb3b95bb3b5b156f38368d6.png"/>
<Relationship Id="rId8" Type="http://schemas.openxmlformats.org/officeDocument/2006/relationships/image" Target="media/bd3d628a84363611546ce002c04d341817a70d8d.png"/>
<Relationship Id="rId9" Type="http://schemas.openxmlformats.org/officeDocument/2006/relationships/image" Target="media/cae974db6f5b9eb8c1c2e066f85214a8c31ec56d.png"/>
<Relationship Id="rId10" Type="http://schemas.openxmlformats.org/officeDocument/2006/relationships/image" Target="media/9f55edb73af5d69afa03ad9b14712691ed3c53c9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2026-03-19T12:41:59Z</dcterms:modified>
  <cp:category/>
</cp:coreProperties>
</file>