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识别预后显著基因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在满足比例风险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假定的前提下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（v3.8-3，https://cran.r-project.org/package=survival）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进行单因素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对每个基因逐一评估其与总生存期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（Overall Survival, OS）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的关联强度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。cox.zph()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 &gt;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检验的标准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&lt;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为阈值筛选候选预后基因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Lasso（Least Absolute Shrinkage and Selection Operator）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回归进行特征筛选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glmnet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（v4.1-8，https://cran.r-project.org/package=glmnet）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折交叉验证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（cv.glmnet, family='cox', lambda=lambda.min）。L1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惩罚项可有效压缩系数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避免过拟合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筛选出最关键的预后基因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风险评分模型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筛选得到的基因及其系数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构建风险评分模型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：RiskScore = Σ(coef_i × expression_i)。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以风险评分的中位数作为截断值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将患者划分为高风险组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（High）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（Low）。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数据处理与绑图采用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dplyr（v1.2.0）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ggplot2（v4.0.0，https://cran.r-project.org/package=ggplot2）。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模型评估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采用以下四种方法对模型进行综合评估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（1）Kaplan-Meier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survminer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（v0.5.0，https://cran.r-project.org/package=survminer）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ggsurvplot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函数绘制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设置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surv.median.line='hv'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显示中位生存线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（2）Log-rank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survdiff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低风险两组的生存曲线差异进行统计学检验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timeROC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（v0.4，https://cran.r-project.org/package=timeROC）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进行边际加权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（marginal weighting）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年三个时间节点的区分能力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（4）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表达热图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ComplexHeatmap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（v2.24.0，https://bioconductor.org/packages/release/bioc/html/ComplexHeatmap.html）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绘制预后基因在样本中的表达谱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统计分析平台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所有统计分析及绑图均使用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R（v4.5.2，https://www.r-project.org）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及其扩展包完成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。Word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文档生成采用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officer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（v0.7.3）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flextable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（v0.9.10，https://cran.r-project.org/package=officer）。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汇总统计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总样本数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：752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：177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：575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1/3/5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 / 0.756 / 0.784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个关键预后基因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为各基因的回归系数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单因素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269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假定检验的基因数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高风险组生存概率显著低于低风险组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0.725，3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0.756，5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0.784，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模型在各时间节点均展现出良好的区分能力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生存状态分布图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上图为各患者生存状态散点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存活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三角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下图为对应风险评分排序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灰色虚线为高低风险组截断值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风险评分分布图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红色虚线为风险评分中位值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用于划分高低风险组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预后基因表达热图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列对应患者样本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按风险评分降序排列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2026-03-22T23:35:17Z</dcterms:modified>
  <cp:category/>
</cp:coreProperties>
</file>